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184.12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79.48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73.2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77.14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信息中心建设</w:t>
            </w:r>
            <w:r>
              <w:rPr>
                <w:rFonts w:hint="eastAsia" w:ascii="仿宋_GB2312" w:hAnsi="仿宋_GB2312" w:eastAsia="仿宋_GB2312" w:cs="仿宋_GB2312"/>
                <w:sz w:val="20"/>
                <w:szCs w:val="20"/>
                <w:highlight w:val="none"/>
              </w:rPr>
              <w:t>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110.92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20.04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23.74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18.84</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13.2</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22.54</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1.2</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1.2</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83.1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戴鑫</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2024.6.24</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13487306977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岳阳市君山区国库集中支付核算中心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235.28</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209.86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209.86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209.86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130.38</w:t>
            </w:r>
            <w:bookmarkStart w:id="0" w:name="_GoBack"/>
            <w:bookmarkEnd w:id="0"/>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79.48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目标1：严格落实财务管理制度，加强会计核算和会计监督。</w:t>
            </w:r>
          </w:p>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目标2：优化国库集中支付业务流程，提升国库集中支付效率。</w:t>
            </w:r>
          </w:p>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目标3：加强作风纪律和廉政建设，提升队伍纪律作风水平。</w:t>
            </w:r>
          </w:p>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目标4：保证日常工作正常运转。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1：严格落实财务管理制度，加强会计核算和会计监督。</w:t>
            </w:r>
          </w:p>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2：优化国库集中支付业务流程，提升国库集中支付效率。</w:t>
            </w:r>
          </w:p>
          <w:p>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3：加强作风纪律和廉政建设，提升队伍纪律作风水平。</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6"/>
                <w:szCs w:val="16"/>
                <w:highlight w:val="none"/>
              </w:rPr>
              <w:t>4：保证日常工作正常运转。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国库集中支付单位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121</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121</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财政直接支付量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2万笔</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2.5万笔</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财政授权支付量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3万笔</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3.39万笔</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单位其他资金直接支付申请清算率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单位其他资金授权支付申请清算率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支付拨付事故率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会计核算工作正常运行率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支付业务审核率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单位其他资金支付申请清算及时率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国库集中支付效率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监管与服务水平</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部门预算约束性</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预算单位满意度95%以上得15分，每减少1%扣1分，扣完为止</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戴鑫</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13487306977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君山区财政局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君山区国库集中支付核算中心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国库集中支付单位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财政直接支付量</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2万笔</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2.5万笔</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财政授权支付量</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3万笔</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3.39万笔</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单位其他资金直接支付申请清算率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nil"/>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单位其他资金授权支付申请清算率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支付拨付事故率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会计核算工作正常运行率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支付业务审核率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单位其他资金支付申请清算及时率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国库集中支付效率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监管与服务水平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部门预算约束性</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预算单位满意度95%以上得15分，每减少1%扣1分，扣完为止</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戴鑫</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13487306977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202</w:t>
      </w:r>
      <w:r>
        <w:rPr>
          <w:rFonts w:hint="eastAsia" w:ascii="方正小标宋简体" w:hAnsi="方正小标宋简体" w:eastAsia="方正小标宋简体" w:cs="方正小标宋简体"/>
          <w:sz w:val="40"/>
          <w:szCs w:val="40"/>
          <w:highlight w:val="none"/>
          <w:lang w:val="en-US" w:eastAsia="zh-CN"/>
        </w:rPr>
        <w:t>3</w:t>
      </w:r>
      <w:r>
        <w:rPr>
          <w:rFonts w:hint="eastAsia" w:ascii="方正小标宋简体" w:hAnsi="方正小标宋简体" w:eastAsia="方正小标宋简体" w:cs="方正小标宋简体"/>
          <w:sz w:val="40"/>
          <w:szCs w:val="40"/>
          <w:highlight w:val="none"/>
        </w:rPr>
        <w:t>年度</w:t>
      </w:r>
      <w:r>
        <w:rPr>
          <w:rFonts w:hint="eastAsia" w:ascii="方正小标宋简体" w:hAnsi="方正小标宋简体" w:eastAsia="方正小标宋简体" w:cs="方正小标宋简体"/>
          <w:sz w:val="40"/>
          <w:szCs w:val="40"/>
          <w:highlight w:val="none"/>
          <w:lang w:eastAsia="zh-CN"/>
        </w:rPr>
        <w:t>岳阳市君山区国库集中支付核算中心</w:t>
      </w:r>
      <w:r>
        <w:rPr>
          <w:rFonts w:hint="eastAsia" w:ascii="方正小标宋简体" w:hAnsi="方正小标宋简体" w:eastAsia="方正小标宋简体" w:cs="方正小标宋简体"/>
          <w:sz w:val="40"/>
          <w:szCs w:val="40"/>
          <w:highlight w:val="none"/>
        </w:rPr>
        <w:t>部门（单位）整体支出绩效自评报告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06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0"/>
          <w:szCs w:val="40"/>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0"/>
          <w:szCs w:val="40"/>
          <w:highlight w:val="none"/>
        </w:rPr>
        <w:t>202</w:t>
      </w:r>
      <w:r>
        <w:rPr>
          <w:rFonts w:hint="eastAsia" w:ascii="方正小标宋简体" w:hAnsi="方正小标宋简体" w:eastAsia="方正小标宋简体" w:cs="方正小标宋简体"/>
          <w:sz w:val="40"/>
          <w:szCs w:val="40"/>
          <w:highlight w:val="none"/>
          <w:lang w:val="en-US" w:eastAsia="zh-CN"/>
        </w:rPr>
        <w:t>3</w:t>
      </w:r>
      <w:r>
        <w:rPr>
          <w:rFonts w:hint="eastAsia" w:ascii="方正小标宋简体" w:hAnsi="方正小标宋简体" w:eastAsia="方正小标宋简体" w:cs="方正小标宋简体"/>
          <w:sz w:val="40"/>
          <w:szCs w:val="40"/>
          <w:highlight w:val="none"/>
        </w:rPr>
        <w:t>年度</w:t>
      </w:r>
      <w:r>
        <w:rPr>
          <w:rFonts w:hint="eastAsia" w:ascii="方正小标宋简体" w:hAnsi="方正小标宋简体" w:eastAsia="方正小标宋简体" w:cs="方正小标宋简体"/>
          <w:sz w:val="40"/>
          <w:szCs w:val="40"/>
          <w:highlight w:val="none"/>
          <w:lang w:eastAsia="zh-CN"/>
        </w:rPr>
        <w:t>岳阳市君山区国库集中支付核算中心</w:t>
      </w:r>
      <w:r>
        <w:rPr>
          <w:rFonts w:hint="eastAsia" w:ascii="方正小标宋简体" w:hAnsi="方正小标宋简体" w:eastAsia="方正小标宋简体" w:cs="方正小标宋简体"/>
          <w:sz w:val="40"/>
          <w:szCs w:val="40"/>
          <w:highlight w:val="none"/>
        </w:rPr>
        <w:t>部门（单位）整体支出绩效自评报告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lang w:eastAsia="zh-CN"/>
        </w:rPr>
        <w:t>（一）职能</w:t>
      </w:r>
      <w:r>
        <w:rPr>
          <w:rFonts w:hint="eastAsia" w:ascii="仿宋" w:hAnsi="仿宋" w:eastAsia="仿宋" w:cs="仿宋"/>
          <w:spacing w:val="9"/>
          <w:sz w:val="29"/>
          <w:szCs w:val="29"/>
        </w:rPr>
        <w:t>职责</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1、贯彻执行国家财经纪律、法规和方针政策，建立和和管理国库单一账户体系。</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2、负责研究制订国家集中支付相关制度，协调人民银行国库部门、代理银行、预算单位等各有关方的相关业务工作，办理财政直接支付零余额账户和授权支付零余额账户的业务。</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3、负责财政国库集中支付业务相关账务处理，办理预算单位财政性资金支出明细账，监督预算单位的预算指标、用款计划情况。</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4、负责制定收付系统内部管理和监督制度，对财政支付机构和收付系统内部进行监督检查。</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5、负责建设并维护局内收付管理信息系统，以及受委托的财政系统网络信息化管理。</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6、负责各预算单位财政工资统发工作。</w:t>
      </w:r>
    </w:p>
    <w:p>
      <w:pPr>
        <w:keepNext w:val="0"/>
        <w:keepLines w:val="0"/>
        <w:pageBreakBefore w:val="0"/>
        <w:numPr>
          <w:ilvl w:val="0"/>
          <w:numId w:val="2"/>
        </w:numPr>
        <w:kinsoku/>
        <w:wordWrap/>
        <w:overflowPunct/>
        <w:topLinePunct w:val="0"/>
        <w:autoSpaceDE/>
        <w:autoSpaceDN/>
        <w:bidi w:val="0"/>
        <w:adjustRightInd/>
        <w:snapToGrid/>
        <w:spacing w:line="640" w:lineRule="exact"/>
        <w:ind w:left="560" w:leftChars="0" w:firstLineChars="0"/>
        <w:jc w:val="both"/>
        <w:textAlignment w:val="auto"/>
        <w:rPr>
          <w:rFonts w:hint="eastAsia" w:ascii="仿宋" w:hAnsi="仿宋" w:eastAsia="仿宋" w:cs="仿宋"/>
          <w:spacing w:val="9"/>
          <w:sz w:val="29"/>
          <w:szCs w:val="29"/>
        </w:rPr>
      </w:pPr>
      <w:r>
        <w:rPr>
          <w:rFonts w:hint="eastAsia" w:ascii="仿宋" w:hAnsi="仿宋" w:eastAsia="仿宋" w:cs="仿宋"/>
          <w:spacing w:val="9"/>
          <w:sz w:val="29"/>
          <w:szCs w:val="29"/>
        </w:rPr>
        <w:t>负责办理部分行政事业单位会计集中核算工作。</w:t>
      </w:r>
    </w:p>
    <w:p>
      <w:pPr>
        <w:keepNext w:val="0"/>
        <w:keepLines w:val="0"/>
        <w:pageBreakBefore w:val="0"/>
        <w:numPr>
          <w:ilvl w:val="0"/>
          <w:numId w:val="2"/>
        </w:numPr>
        <w:kinsoku/>
        <w:wordWrap/>
        <w:overflowPunct/>
        <w:topLinePunct w:val="0"/>
        <w:autoSpaceDE/>
        <w:autoSpaceDN/>
        <w:bidi w:val="0"/>
        <w:adjustRightInd/>
        <w:snapToGrid/>
        <w:spacing w:line="640" w:lineRule="exact"/>
        <w:ind w:left="560" w:leftChars="0" w:firstLineChars="0"/>
        <w:jc w:val="both"/>
        <w:textAlignment w:val="auto"/>
        <w:rPr>
          <w:rFonts w:hint="eastAsia" w:ascii="仿宋" w:hAnsi="仿宋" w:eastAsia="仿宋" w:cs="仿宋"/>
          <w:b w:val="0"/>
          <w:bCs w:val="0"/>
          <w:sz w:val="32"/>
          <w:szCs w:val="32"/>
          <w:highlight w:val="none"/>
        </w:rPr>
      </w:pPr>
      <w:r>
        <w:rPr>
          <w:rFonts w:hint="eastAsia" w:ascii="仿宋" w:hAnsi="仿宋" w:eastAsia="仿宋" w:cs="仿宋"/>
          <w:spacing w:val="9"/>
          <w:sz w:val="29"/>
          <w:szCs w:val="29"/>
        </w:rPr>
        <w:t>完成上级交办的其他工作。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eastAsia="zh-CN"/>
        </w:rPr>
        <w:t>（二）</w:t>
      </w:r>
      <w:r>
        <w:rPr>
          <w:rFonts w:hint="eastAsia" w:ascii="仿宋_GB2312" w:hAnsi="仿宋" w:eastAsia="仿宋_GB2312"/>
          <w:sz w:val="32"/>
          <w:szCs w:val="32"/>
        </w:rPr>
        <w:t>机构情况。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支付核算中心内设三个职能股室：结算中心、支付股、核算股。</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eastAsia="zh-CN"/>
        </w:rPr>
        <w:t>（三）</w:t>
      </w:r>
      <w:r>
        <w:rPr>
          <w:rFonts w:hint="eastAsia" w:ascii="仿宋_GB2312" w:hAnsi="仿宋" w:eastAsia="仿宋_GB2312"/>
          <w:sz w:val="32"/>
          <w:szCs w:val="32"/>
        </w:rPr>
        <w:t>人员情况。</w:t>
      </w:r>
    </w:p>
    <w:p>
      <w:pPr>
        <w:keepNext w:val="0"/>
        <w:keepLines w:val="0"/>
        <w:pageBreakBefore w:val="0"/>
        <w:numPr>
          <w:ilvl w:val="0"/>
          <w:numId w:val="0"/>
        </w:numPr>
        <w:kinsoku/>
        <w:wordWrap/>
        <w:overflowPunct/>
        <w:topLinePunct w:val="0"/>
        <w:autoSpaceDE/>
        <w:autoSpaceDN/>
        <w:bidi w:val="0"/>
        <w:adjustRightInd/>
        <w:snapToGrid/>
        <w:spacing w:line="640" w:lineRule="exact"/>
        <w:ind w:left="560" w:leftChars="0"/>
        <w:jc w:val="both"/>
        <w:textAlignment w:val="auto"/>
        <w:rPr>
          <w:rFonts w:hint="eastAsia" w:ascii="仿宋" w:hAnsi="仿宋" w:eastAsia="仿宋" w:cs="仿宋"/>
          <w:b w:val="0"/>
          <w:bCs w:val="0"/>
          <w:sz w:val="32"/>
          <w:szCs w:val="32"/>
          <w:highlight w:val="none"/>
        </w:rPr>
      </w:pPr>
      <w:r>
        <w:rPr>
          <w:rFonts w:hint="eastAsia" w:eastAsia="仿宋_GB2312"/>
          <w:sz w:val="32"/>
          <w:szCs w:val="32"/>
        </w:rPr>
        <w:t>财政全额拨款事业编制10名。</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万元，其中：</w:t>
      </w:r>
    </w:p>
    <w:p>
      <w:pPr>
        <w:pStyle w:val="8"/>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106.63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81.79</w:t>
      </w:r>
      <w:r>
        <w:rPr>
          <w:rFonts w:hint="eastAsia" w:ascii="Times New Roman" w:hAnsi="Times New Roman" w:eastAsia="仿宋_GB2312"/>
          <w:sz w:val="32"/>
          <w:szCs w:val="32"/>
        </w:rPr>
        <w:t>%,主要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pPr>
        <w:pStyle w:val="8"/>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23.74</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18.21</w:t>
      </w:r>
      <w:r>
        <w:rPr>
          <w:rFonts w:hint="eastAsia" w:ascii="Times New Roman" w:hAnsi="Times New Roman" w:eastAsia="仿宋_GB2312"/>
          <w:b w:val="0"/>
          <w:bCs w:val="0"/>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b w:val="0"/>
          <w:bCs w:val="0"/>
          <w:sz w:val="32"/>
          <w:szCs w:val="32"/>
          <w:highlight w:val="none"/>
        </w:rPr>
        <w:t>。</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2023年本部门项目预算总计79.48万元，其中业务工作经费77.14万元，信息中心建设经费2.34万元，均严格按照年初预算进行部门整体支出。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2023年度本部门无</w:t>
      </w:r>
      <w:r>
        <w:rPr>
          <w:rFonts w:hint="default" w:ascii="Times New Roman" w:hAnsi="Times New Roman" w:eastAsia="仿宋_GB2312" w:cs="黑体"/>
          <w:b w:val="0"/>
          <w:bCs w:val="0"/>
          <w:color w:val="000000"/>
          <w:kern w:val="0"/>
          <w:sz w:val="32"/>
          <w:szCs w:val="32"/>
          <w:lang w:val="en-US" w:eastAsia="zh-CN" w:bidi="ar-SA"/>
        </w:rPr>
        <w:t>政府性基金预算</w:t>
      </w:r>
      <w:r>
        <w:rPr>
          <w:rFonts w:hint="eastAsia" w:ascii="Times New Roman" w:hAnsi="Times New Roman" w:eastAsia="仿宋_GB2312" w:cs="黑体"/>
          <w:b w:val="0"/>
          <w:bCs w:val="0"/>
          <w:color w:val="000000"/>
          <w:kern w:val="0"/>
          <w:sz w:val="32"/>
          <w:szCs w:val="32"/>
          <w:lang w:val="en-US" w:eastAsia="zh-CN" w:bidi="ar-SA"/>
        </w:rPr>
        <w:t>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2023年度本部门无</w:t>
      </w:r>
      <w:r>
        <w:rPr>
          <w:rFonts w:hint="default" w:ascii="Times New Roman" w:hAnsi="Times New Roman" w:eastAsia="仿宋_GB2312" w:cs="黑体"/>
          <w:b w:val="0"/>
          <w:bCs w:val="0"/>
          <w:color w:val="000000"/>
          <w:kern w:val="0"/>
          <w:sz w:val="32"/>
          <w:szCs w:val="32"/>
          <w:lang w:val="en-US" w:eastAsia="zh-CN" w:bidi="ar-SA"/>
        </w:rPr>
        <w:t>国有资本经营预算支出</w:t>
      </w:r>
      <w:r>
        <w:rPr>
          <w:rFonts w:hint="eastAsia" w:ascii="Times New Roman" w:hAnsi="Times New Roman" w:eastAsia="仿宋_GB2312" w:cs="黑体"/>
          <w:b w:val="0"/>
          <w:bCs w:val="0"/>
          <w:color w:val="000000"/>
          <w:kern w:val="0"/>
          <w:sz w:val="32"/>
          <w:szCs w:val="32"/>
          <w:lang w:val="en-US" w:eastAsia="zh-CN" w:bidi="ar-SA"/>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2023年度本部门无社会保险基金预算支出。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ind w:firstLine="551" w:firstLineChars="196"/>
        <w:rPr>
          <w:rFonts w:ascii="仿宋" w:hAnsi="仿宋" w:eastAsia="仿宋" w:cstheme="minorEastAsia"/>
          <w:b/>
          <w:bCs/>
          <w:kern w:val="0"/>
          <w:sz w:val="28"/>
          <w:szCs w:val="28"/>
        </w:rPr>
      </w:pPr>
      <w:r>
        <w:rPr>
          <w:rFonts w:hint="eastAsia" w:ascii="仿宋" w:hAnsi="仿宋" w:eastAsia="仿宋" w:cstheme="minorEastAsia"/>
          <w:b/>
          <w:bCs/>
          <w:kern w:val="0"/>
          <w:sz w:val="28"/>
          <w:szCs w:val="28"/>
        </w:rPr>
        <w:t>（一）严格落实财务管理制度，加强会计核算和会计监督。</w:t>
      </w:r>
      <w:r>
        <w:rPr>
          <w:rFonts w:hint="eastAsia" w:ascii="仿宋" w:hAnsi="仿宋" w:eastAsia="仿宋" w:cstheme="minorEastAsia"/>
          <w:kern w:val="0"/>
          <w:sz w:val="28"/>
          <w:szCs w:val="28"/>
        </w:rPr>
        <w:t>根据区委区政府工作安排，我中心自今年1月起对原财务代理记账的1</w:t>
      </w:r>
      <w:r>
        <w:rPr>
          <w:rFonts w:hint="eastAsia" w:ascii="仿宋" w:hAnsi="仿宋" w:eastAsia="仿宋" w:cstheme="minorEastAsia"/>
          <w:kern w:val="0"/>
          <w:sz w:val="28"/>
          <w:szCs w:val="28"/>
          <w:lang w:val="en-US" w:eastAsia="zh-CN"/>
        </w:rPr>
        <w:t>6</w:t>
      </w:r>
      <w:r>
        <w:rPr>
          <w:rFonts w:hint="eastAsia" w:ascii="仿宋" w:hAnsi="仿宋" w:eastAsia="仿宋" w:cstheme="minorEastAsia"/>
          <w:kern w:val="0"/>
          <w:sz w:val="28"/>
          <w:szCs w:val="28"/>
        </w:rPr>
        <w:t>家党群部门和重点工程临时机构实行会计集中核算，出台了《关于加强区直有关预算单位财务集中核算的若干规定》，理顺了上述单位的账务处理，并接管了实行中介机构代理记账的2020年至2022年的会计凭证、会计账薄、会计报表等会计资料。工作中，我们坚持做到以下几点：一是严格落实中央“八项规定”，强化会计监督职能，严肃财经纪律，严控一般性行政支出，协助会计集中核算单位管好用好财政资金。二是集中精力履行好会计核算职能，按照《政府会计制度》的要求，管好会计集中核算单位的会计账套，发挥好审核、核算、记账、分析的作用。</w:t>
      </w:r>
    </w:p>
    <w:p>
      <w:pPr>
        <w:ind w:firstLine="416" w:firstLineChars="148"/>
        <w:rPr>
          <w:rFonts w:hint="eastAsia" w:ascii="仿宋" w:hAnsi="仿宋" w:eastAsia="仿宋" w:cstheme="minorEastAsia"/>
          <w:kern w:val="0"/>
          <w:sz w:val="28"/>
          <w:szCs w:val="28"/>
        </w:rPr>
      </w:pPr>
      <w:r>
        <w:rPr>
          <w:rFonts w:hint="eastAsia" w:ascii="仿宋" w:hAnsi="仿宋" w:eastAsia="仿宋" w:cstheme="minorEastAsia"/>
          <w:b/>
          <w:bCs/>
          <w:kern w:val="0"/>
          <w:sz w:val="28"/>
          <w:szCs w:val="28"/>
        </w:rPr>
        <w:t>（二）优化国库集中支付业务流程，提升国库集中支付效率。</w:t>
      </w:r>
      <w:r>
        <w:rPr>
          <w:rFonts w:hint="eastAsia" w:ascii="仿宋" w:hAnsi="仿宋" w:eastAsia="仿宋" w:cstheme="minorEastAsia"/>
          <w:kern w:val="0"/>
          <w:sz w:val="28"/>
          <w:szCs w:val="28"/>
        </w:rPr>
        <w:t>一是实行了电子支付改革。改革后，预算单位的业务通过一体化系统办理，资料通过网络上传，真正做到“让数据多跑路”，减轻了预算单位财务人员的工作量，提高了工作效率。二是严格控制现金使用，按照国库集中支付改革的要求，严格执行现金管理规定，防范因大额使用现金造成的财务风险。三是实行数据自动对接。解决好银行、财政、预算单位之间的数据自动对接问题，使国库集中支付业务和会计集中核算业务办理更加顺畅。</w:t>
      </w:r>
      <w:r>
        <w:rPr>
          <w:rFonts w:hint="eastAsia" w:ascii="仿宋" w:hAnsi="仿宋" w:eastAsia="仿宋" w:cstheme="minorEastAsia"/>
          <w:kern w:val="0"/>
          <w:sz w:val="28"/>
          <w:szCs w:val="28"/>
          <w:lang w:eastAsia="zh-CN"/>
        </w:rPr>
        <w:t>四是</w:t>
      </w:r>
      <w:r>
        <w:rPr>
          <w:rFonts w:hint="eastAsia" w:ascii="仿宋" w:hAnsi="仿宋" w:eastAsia="仿宋" w:cstheme="minorEastAsia"/>
          <w:kern w:val="0"/>
          <w:sz w:val="28"/>
          <w:szCs w:val="28"/>
          <w:lang w:val="en-US" w:eastAsia="zh-CN"/>
        </w:rPr>
        <w:t>2023年度，我区国库集中支付业务58591笔，资金支出26.4亿元。逐渐提高财政资金的运行效率的使用效益，通过不断的摸索总结，带动财政、银行、预算单位支付行为的规范化、流程化、逐步提高财政资金的运行及使用效率。五是单位其他资金收入2.53亿元，支出6962.47万元。</w:t>
      </w:r>
    </w:p>
    <w:p>
      <w:pPr>
        <w:ind w:firstLine="562" w:firstLineChars="200"/>
        <w:rPr>
          <w:rFonts w:ascii="仿宋" w:hAnsi="仿宋" w:eastAsia="仿宋" w:cstheme="minorEastAsia"/>
          <w:kern w:val="0"/>
          <w:sz w:val="28"/>
          <w:szCs w:val="28"/>
        </w:rPr>
      </w:pPr>
      <w:r>
        <w:rPr>
          <w:rFonts w:hint="eastAsia" w:ascii="仿宋" w:hAnsi="仿宋" w:eastAsia="仿宋" w:cstheme="minorEastAsia"/>
          <w:b/>
          <w:bCs/>
          <w:kern w:val="0"/>
          <w:sz w:val="28"/>
          <w:szCs w:val="28"/>
        </w:rPr>
        <w:t>（三）完善学习培训机制，努力提高政治业务水平。</w:t>
      </w:r>
      <w:r>
        <w:rPr>
          <w:rFonts w:hint="eastAsia" w:ascii="仿宋" w:hAnsi="仿宋" w:eastAsia="仿宋" w:cstheme="minorEastAsia"/>
          <w:kern w:val="0"/>
          <w:sz w:val="28"/>
          <w:szCs w:val="28"/>
        </w:rPr>
        <w:t>一是加强政治理论学习，在局党组的精心组织下，支付核算中心认真学习党的二十大精神，严格按照学习要求记好笔记、写好心得体会。二是加强会计业务知识的学习与培训，特别是国库改革的新知识、新政策、新制度，着力提高业务素质，适应新形势下工作的需要。三是举办会计集中核算工作报账员培训班，解读了《关于加强区直有关预算单位财务集中核算的若干规定》，明确了报账员的工作职能职责和工作流程，进一步提升了报账员的业务水平和能力。</w:t>
      </w:r>
    </w:p>
    <w:p>
      <w:pPr>
        <w:ind w:firstLine="551" w:firstLineChars="196"/>
        <w:rPr>
          <w:rFonts w:hint="default" w:ascii="Times New Roman" w:hAnsi="Times New Roman" w:eastAsia="仿宋_GB2312" w:cs="Times New Roman"/>
          <w:color w:val="000000"/>
          <w:sz w:val="32"/>
          <w:szCs w:val="32"/>
          <w:highlight w:val="none"/>
        </w:rPr>
      </w:pPr>
      <w:r>
        <w:rPr>
          <w:rFonts w:hint="eastAsia" w:ascii="仿宋" w:hAnsi="仿宋" w:eastAsia="仿宋" w:cstheme="minorEastAsia"/>
          <w:b/>
          <w:bCs/>
          <w:kern w:val="0"/>
          <w:sz w:val="28"/>
          <w:szCs w:val="28"/>
        </w:rPr>
        <w:t>（四）加强作风纪律和廉政建设，提升队伍纪律作风水平。</w:t>
      </w:r>
      <w:r>
        <w:rPr>
          <w:rFonts w:hint="eastAsia" w:ascii="仿宋" w:hAnsi="仿宋" w:eastAsia="仿宋" w:cstheme="minorEastAsia"/>
          <w:kern w:val="0"/>
          <w:sz w:val="28"/>
          <w:szCs w:val="28"/>
        </w:rPr>
        <w:t>一是加强作风建设。规范日常管理，严格纪律作风考核，使支付核算工作忙而不乱，有条不紊，维护好窗口形象。二是加强廉政建设。认真执行廉政建设的有干规定，杜绝“吃、拿、卡、要”和报人情账、关系账现象。</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numPr>
          <w:ilvl w:val="0"/>
          <w:numId w:val="0"/>
        </w:numPr>
        <w:ind w:firstLine="600"/>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1、思想认识还有待进一步统一和提高。区直一此单位和部门对国库集中支付改革的重要性认识不够，学习新制度、新工作还存在抵触情绪，严重影响了国库集中支付工作效率。</w:t>
      </w:r>
    </w:p>
    <w:p>
      <w:pPr>
        <w:numPr>
          <w:ilvl w:val="0"/>
          <w:numId w:val="0"/>
        </w:numPr>
        <w:ind w:firstLine="600"/>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2、软件还需进一步完善。在实际使用国库集中支付系统软件时，有些操作环节不稳定，造成支付过程长，手续复杂，影响了工作效率。</w:t>
      </w:r>
    </w:p>
    <w:p>
      <w:pPr>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3、人员素质有待于进一步提高。国库集中支付业务是一项新工作，但目前支付核算中心的人员工作经验少，业务素质有待于提高。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widowControl/>
        <w:shd w:val="clear" w:color="auto" w:fill="FFFFFF"/>
        <w:spacing w:line="375" w:lineRule="atLeast"/>
        <w:ind w:left="196" w:leftChars="70" w:firstLine="422" w:firstLineChars="150"/>
        <w:jc w:val="left"/>
        <w:rPr>
          <w:rFonts w:hint="eastAsia" w:ascii="仿宋" w:hAnsi="仿宋" w:eastAsia="仿宋" w:cstheme="minorEastAsia"/>
          <w:color w:val="000000"/>
          <w:kern w:val="0"/>
          <w:sz w:val="28"/>
          <w:szCs w:val="28"/>
          <w:lang w:eastAsia="zh-CN"/>
        </w:rPr>
      </w:pPr>
      <w:r>
        <w:rPr>
          <w:rFonts w:hint="eastAsia" w:ascii="仿宋" w:hAnsi="仿宋" w:eastAsia="仿宋" w:cstheme="minorEastAsia"/>
          <w:b/>
          <w:color w:val="000000"/>
          <w:kern w:val="0"/>
          <w:sz w:val="28"/>
          <w:szCs w:val="28"/>
        </w:rPr>
        <w:t>一是继续深化和完善国库集中支付制度改革。</w:t>
      </w:r>
      <w:r>
        <w:rPr>
          <w:rFonts w:hint="eastAsia" w:ascii="仿宋" w:hAnsi="仿宋" w:eastAsia="仿宋" w:cstheme="minorEastAsia"/>
          <w:color w:val="000000"/>
          <w:kern w:val="0"/>
          <w:sz w:val="28"/>
          <w:szCs w:val="28"/>
        </w:rPr>
        <w:t>进一步规范和简化业务流程，探索、完善相关制度和机制，加强财政资金安全管理。配合相关业务股室进一步加强对公务卡的推广应用和资金动态监控管理工作，学习各县市的先进做法，探索降低支付的日常工作业务量，减轻财务人员的工作强度。</w:t>
      </w:r>
    </w:p>
    <w:p>
      <w:pPr>
        <w:widowControl/>
        <w:shd w:val="clear" w:color="auto" w:fill="FFFFFF"/>
        <w:spacing w:line="375" w:lineRule="atLeast"/>
        <w:ind w:left="196" w:leftChars="70" w:firstLine="422" w:firstLineChars="150"/>
        <w:jc w:val="left"/>
        <w:rPr>
          <w:rFonts w:ascii="仿宋" w:hAnsi="仿宋" w:eastAsia="仿宋" w:cstheme="minorEastAsia"/>
          <w:sz w:val="28"/>
          <w:szCs w:val="28"/>
        </w:rPr>
      </w:pPr>
      <w:r>
        <w:rPr>
          <w:rFonts w:hint="eastAsia" w:ascii="仿宋" w:hAnsi="仿宋" w:eastAsia="仿宋" w:cstheme="minorEastAsia"/>
          <w:b/>
          <w:bCs/>
          <w:color w:val="000000"/>
          <w:kern w:val="0"/>
          <w:sz w:val="28"/>
          <w:szCs w:val="28"/>
        </w:rPr>
        <w:t xml:space="preserve">    二是及时与工程师联系，反馈相关问题并做好整改。</w:t>
      </w:r>
      <w:r>
        <w:rPr>
          <w:rFonts w:hint="eastAsia" w:ascii="仿宋" w:hAnsi="仿宋" w:eastAsia="仿宋" w:cstheme="minorEastAsia"/>
          <w:color w:val="000000"/>
          <w:kern w:val="0"/>
          <w:sz w:val="28"/>
          <w:szCs w:val="28"/>
        </w:rPr>
        <w:t>平时耐心细致的解答预算单位在大平台系统运行操作中碰到的问题，对突出的重点问题做好重点解决，及时加强相互之间的沟通，积极思考和学习大平台里碰到的问题解决办法，做好服务工作，不断提高管理和处理问题的水平，认真做好大平台运行维护工作。</w:t>
      </w:r>
    </w:p>
    <w:p>
      <w:pPr>
        <w:widowControl/>
        <w:shd w:val="clear" w:color="auto" w:fill="FFFFFF"/>
        <w:spacing w:line="375" w:lineRule="atLeast"/>
        <w:ind w:left="196" w:leftChars="70" w:firstLine="559" w:firstLineChars="199"/>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三是规范财政直接支付项目报批程序和扩大支付比例</w:t>
      </w:r>
      <w:r>
        <w:rPr>
          <w:rFonts w:hint="eastAsia" w:ascii="仿宋" w:hAnsi="仿宋" w:eastAsia="仿宋" w:cstheme="minorEastAsia"/>
          <w:color w:val="000000"/>
          <w:kern w:val="0"/>
          <w:sz w:val="28"/>
          <w:szCs w:val="28"/>
        </w:rPr>
        <w:t>。加强对基础建设项目和行政事业专项的直接支付监管。一是对不符合项目要求、未按规定报送直接支付书面材料的直接支付事项不予办理。二是严格审核单位用款计划，对用款计划中符合直接支付范畴的事项申请授权支付类型的指标予以退回。三是对按进度拨款的直接支付重点项目严格把关。</w:t>
      </w:r>
    </w:p>
    <w:p>
      <w:pPr>
        <w:widowControl/>
        <w:shd w:val="clear" w:color="auto" w:fill="FFFFFF"/>
        <w:spacing w:line="375" w:lineRule="atLeast"/>
        <w:ind w:left="196" w:leftChars="70" w:firstLine="422" w:firstLineChars="150"/>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四是建立全面的对账制度</w:t>
      </w:r>
      <w:r>
        <w:rPr>
          <w:rFonts w:hint="eastAsia" w:ascii="仿宋" w:hAnsi="仿宋" w:eastAsia="仿宋" w:cstheme="minorEastAsia"/>
          <w:color w:val="000000"/>
          <w:kern w:val="0"/>
          <w:sz w:val="28"/>
          <w:szCs w:val="28"/>
        </w:rPr>
        <w:t>，在认真处理各项账务的基础上，加强对账工作，定期、及时地与人民银行、代理银行、预算单位核对账务，对预算执行、资金支付、资金清算、财政决算中的重大事项组织调查。</w:t>
      </w:r>
    </w:p>
    <w:p>
      <w:pPr>
        <w:widowControl/>
        <w:shd w:val="clear" w:color="auto" w:fill="FFFFFF"/>
        <w:spacing w:line="375" w:lineRule="atLeast"/>
        <w:ind w:left="196" w:leftChars="70" w:firstLine="422" w:firstLineChars="150"/>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五是提高预、决算分析水平，更好地为领导决策服务</w:t>
      </w:r>
      <w:r>
        <w:rPr>
          <w:rFonts w:hint="eastAsia" w:ascii="仿宋" w:hAnsi="仿宋" w:eastAsia="仿宋" w:cstheme="minorEastAsia"/>
          <w:color w:val="000000"/>
          <w:kern w:val="0"/>
          <w:sz w:val="28"/>
          <w:szCs w:val="28"/>
        </w:rPr>
        <w:t>。运用国库集中支付系统软件对财政数据进行分析，加强财政与经济联系的分析，全面剖析、把握资金的走向，关注资金的使用效率，全面定位财政工作，发现问题，查找原因，提出对策，为领导决策做好服务工作。</w:t>
      </w:r>
    </w:p>
    <w:p>
      <w:pPr>
        <w:ind w:firstLine="560"/>
        <w:rPr>
          <w:rFonts w:hint="eastAsia" w:ascii="仿宋" w:hAnsi="仿宋" w:eastAsia="仿宋" w:cstheme="minorEastAsia"/>
          <w:kern w:val="0"/>
          <w:sz w:val="28"/>
          <w:szCs w:val="28"/>
        </w:rPr>
      </w:pPr>
      <w:r>
        <w:rPr>
          <w:rFonts w:hint="eastAsia" w:ascii="仿宋" w:hAnsi="仿宋" w:eastAsia="仿宋" w:cstheme="minorEastAsia"/>
          <w:b/>
          <w:bCs/>
          <w:kern w:val="0"/>
          <w:sz w:val="28"/>
          <w:szCs w:val="28"/>
        </w:rPr>
        <w:t>六是做好集中核算单位的账务工作。</w:t>
      </w:r>
      <w:r>
        <w:rPr>
          <w:rFonts w:hint="eastAsia" w:ascii="仿宋" w:hAnsi="仿宋" w:eastAsia="仿宋" w:cstheme="minorEastAsia"/>
          <w:kern w:val="0"/>
          <w:sz w:val="28"/>
          <w:szCs w:val="28"/>
        </w:rPr>
        <w:t>在集中核算的账务处理中，密切留意有关费用等政策方面的动态，并及时做出相应的账务处理，使这些单位的账务处理更具规范化。</w:t>
      </w:r>
    </w:p>
    <w:p>
      <w:pPr>
        <w:ind w:firstLine="560"/>
        <w:rPr>
          <w:rFonts w:hint="eastAsia" w:ascii="仿宋" w:hAnsi="仿宋" w:eastAsia="仿宋" w:cstheme="minorEastAsia"/>
          <w:kern w:val="0"/>
          <w:sz w:val="28"/>
          <w:szCs w:val="28"/>
        </w:rPr>
      </w:pPr>
      <w:r>
        <w:rPr>
          <w:rFonts w:hint="eastAsia" w:ascii="仿宋" w:hAnsi="仿宋" w:eastAsia="仿宋" w:cstheme="minorEastAsia"/>
          <w:b/>
          <w:bCs/>
          <w:kern w:val="0"/>
          <w:sz w:val="28"/>
          <w:szCs w:val="28"/>
          <w:lang w:eastAsia="zh-CN"/>
        </w:rPr>
        <w:t>七是清理银行账户，规范资金管理。</w:t>
      </w:r>
      <w:r>
        <w:rPr>
          <w:rFonts w:hint="eastAsia" w:ascii="仿宋" w:hAnsi="仿宋" w:eastAsia="仿宋" w:cstheme="minorEastAsia"/>
          <w:kern w:val="0"/>
          <w:sz w:val="28"/>
          <w:szCs w:val="28"/>
        </w:rPr>
        <w:t>（一）明确各单位可开设的银行账户。根据我市国库集中支付、预算管理一体化工作要求，市直独立核算单位可开设或保留银行账户为：单位零余额账户、财政其他资金账户、工会 经费专户、党费专户各一个，符合条件的单位可开设一个食堂专户。（二）清理撤销实有资金账户，归并账户资金。根据市直各单位银行账户管理现状，账户清理按账户性质分类处置，账户资金按照存量资金管理有关规定执行。</w:t>
      </w:r>
    </w:p>
    <w:p>
      <w:pPr>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theme="minorEastAsia"/>
          <w:b/>
          <w:bCs/>
          <w:kern w:val="0"/>
          <w:sz w:val="28"/>
          <w:szCs w:val="28"/>
          <w:lang w:eastAsia="zh-CN"/>
        </w:rPr>
        <w:t>八是重点项目临时机构部分项目财务移交给主管部门。</w:t>
      </w:r>
      <w:r>
        <w:rPr>
          <w:rFonts w:hint="eastAsia" w:ascii="仿宋" w:hAnsi="仿宋" w:eastAsia="仿宋" w:cstheme="minorEastAsia"/>
          <w:b w:val="0"/>
          <w:bCs w:val="0"/>
          <w:kern w:val="0"/>
          <w:sz w:val="28"/>
          <w:szCs w:val="28"/>
          <w:lang w:eastAsia="zh-CN"/>
        </w:rPr>
        <w:t>以下临时机构财务移交给主管部门：</w:t>
      </w:r>
      <w:r>
        <w:rPr>
          <w:rFonts w:hint="eastAsia" w:ascii="仿宋" w:hAnsi="仿宋" w:eastAsia="仿宋" w:cstheme="minorEastAsia"/>
          <w:kern w:val="0"/>
          <w:sz w:val="28"/>
          <w:szCs w:val="28"/>
          <w:lang w:val="en-US" w:eastAsia="zh-CN"/>
        </w:rPr>
        <w:t>君山区城乡人居环境整治项目、长江岸线荆江门段应急处险项目、岳阳市君山区水利安保工程暨LNG疏港公路项目及君山区增减挂钩和旱改水及耕地开发项目。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B9A94"/>
    <w:multiLevelType w:val="singleLevel"/>
    <w:tmpl w:val="ADBB9A94"/>
    <w:lvl w:ilvl="0" w:tentative="0">
      <w:start w:val="1"/>
      <w:numFmt w:val="chineseCounting"/>
      <w:suff w:val="nothing"/>
      <w:lvlText w:val="%1、"/>
      <w:lvlJc w:val="left"/>
      <w:rPr>
        <w:rFonts w:hint="eastAsia"/>
      </w:rPr>
    </w:lvl>
  </w:abstractNum>
  <w:abstractNum w:abstractNumId="1">
    <w:nsid w:val="AE3617D6"/>
    <w:multiLevelType w:val="singleLevel"/>
    <w:tmpl w:val="AE3617D6"/>
    <w:lvl w:ilvl="0" w:tentative="0">
      <w:start w:val="2"/>
      <w:numFmt w:val="chineseCounting"/>
      <w:suff w:val="nothing"/>
      <w:lvlText w:val="（%1）"/>
      <w:lvlJc w:val="left"/>
      <w:rPr>
        <w:rFonts w:hint="eastAsia"/>
      </w:rPr>
    </w:lvl>
  </w:abstractNum>
  <w:abstractNum w:abstractNumId="2">
    <w:nsid w:val="364E7CBF"/>
    <w:multiLevelType w:val="singleLevel"/>
    <w:tmpl w:val="364E7CBF"/>
    <w:lvl w:ilvl="0" w:tentative="0">
      <w:start w:val="7"/>
      <w:numFmt w:val="decimal"/>
      <w:suff w:val="nothing"/>
      <w:lvlText w:val="%1、"/>
      <w:lvlJc w:val="left"/>
      <w:pPr>
        <w:ind w:left="560"/>
      </w:p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zk2NzIyOGM1YzBiMDkyM2MzZWNjODdjMGYzZmUifQ=="/>
  </w:docVars>
  <w:rsids>
    <w:rsidRoot w:val="59886344"/>
    <w:rsid w:val="053D73B2"/>
    <w:rsid w:val="28EB5DEC"/>
    <w:rsid w:val="33B10AAD"/>
    <w:rsid w:val="3ED662EC"/>
    <w:rsid w:val="52A33730"/>
    <w:rsid w:val="59886344"/>
    <w:rsid w:val="6B415F5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toc 5"/>
    <w:basedOn w:val="1"/>
    <w:next w:val="1"/>
    <w:autoRedefine/>
    <w:qFormat/>
    <w:uiPriority w:val="0"/>
    <w:pPr>
      <w:widowControl w:val="0"/>
      <w:ind w:left="1680" w:leftChars="800"/>
      <w:jc w:val="both"/>
    </w:pPr>
    <w:rPr>
      <w:rFonts w:ascii="Calibri" w:hAnsi="Calibri" w:eastAsia="宋体" w:cs="黑体"/>
      <w:kern w:val="2"/>
      <w:sz w:val="21"/>
      <w:szCs w:val="22"/>
      <w:lang w:val="en-US" w:eastAsia="zh-CN" w:bidi="ar-SA"/>
    </w:rPr>
  </w:style>
  <w:style w:type="paragraph" w:customStyle="1" w:styleId="6">
    <w:name w:val="列出段落1"/>
    <w:basedOn w:val="1"/>
    <w:autoRedefine/>
    <w:qFormat/>
    <w:uiPriority w:val="34"/>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 w:type="paragraph" w:customStyle="1" w:styleId="8">
    <w:name w:val="Default"/>
    <w:autoRedefine/>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紫冰鑫</cp:lastModifiedBy>
  <cp:lastPrinted>2024-06-24T01:25:00Z</cp:lastPrinted>
  <dcterms:modified xsi:type="dcterms:W3CDTF">2024-07-15T07:04:36Z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35433028CC3848D697250092783A53C2_13</vt:lpwstr>
  </property>
</Properties>
</file>