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4</w:t>
      </w:r>
    </w:p>
    <w:p>
      <w:pPr>
        <w:jc w:val="center"/>
        <w:rPr>
          <w:rFonts w:hint="default" w:ascii="Times New Roman" w:hAnsi="Times New Roman" w:eastAsia="方正小标宋_GBK" w:cs="Times New Roman"/>
          <w:sz w:val="52"/>
          <w:szCs w:val="52"/>
          <w:highlight w:val="none"/>
        </w:rPr>
      </w:pP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年度中共岳阳市君山区委党史研究室整体支出绩效自评报告</w:t>
      </w:r>
    </w:p>
    <w:p>
      <w:pPr>
        <w:jc w:val="center"/>
        <w:rPr>
          <w:rFonts w:hint="default" w:ascii="Times New Roman" w:hAnsi="Times New Roman" w:eastAsia="方正小标宋_GBK" w:cs="Times New Roman"/>
          <w:b/>
          <w:sz w:val="52"/>
          <w:szCs w:val="5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both"/>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spacing w:line="600" w:lineRule="exact"/>
        <w:jc w:val="center"/>
        <w:rPr>
          <w:rFonts w:hint="default" w:ascii="Times New Roman" w:hAnsi="Times New Roman" w:eastAsia="仿宋_GB2312" w:cs="Times New Roman"/>
          <w:sz w:val="32"/>
          <w:szCs w:val="32"/>
          <w:highlight w:val="none"/>
          <w:u w:val="single"/>
        </w:rPr>
      </w:pPr>
      <w:r>
        <w:rPr>
          <w:rFonts w:hint="default" w:ascii="Times New Roman" w:hAnsi="Times New Roman" w:eastAsia="仿宋_GB2312" w:cs="Times New Roman"/>
          <w:sz w:val="32"/>
          <w:szCs w:val="32"/>
          <w:highlight w:val="none"/>
        </w:rPr>
        <w:t>部门（单位）名称：</w:t>
      </w:r>
      <w:r>
        <w:rPr>
          <w:rFonts w:hint="default" w:ascii="Times New Roman" w:hAnsi="Times New Roman" w:eastAsia="仿宋_GB2312" w:cs="Times New Roman"/>
          <w:sz w:val="32"/>
          <w:szCs w:val="32"/>
          <w:highlight w:val="none"/>
          <w:u w:val="single"/>
        </w:rPr>
        <w:t>（盖章）</w:t>
      </w:r>
    </w:p>
    <w:p>
      <w:pPr>
        <w:spacing w:line="600" w:lineRule="exact"/>
        <w:jc w:val="center"/>
        <w:rPr>
          <w:rFonts w:hint="default" w:ascii="Times New Roman" w:hAnsi="Times New Roman" w:eastAsia="楷体_GB2312" w:cs="Times New Roman"/>
          <w:sz w:val="32"/>
          <w:szCs w:val="32"/>
          <w:highlight w:val="none"/>
        </w:rPr>
      </w:pPr>
      <w:r>
        <w:rPr>
          <w:rFonts w:hint="eastAsia" w:ascii="Times New Roman" w:hAnsi="Times New Roman" w:eastAsia="楷体_GB2312" w:cs="Times New Roman"/>
          <w:sz w:val="32"/>
          <w:szCs w:val="32"/>
          <w:highlight w:val="none"/>
          <w:lang w:val="en-US" w:eastAsia="zh-CN"/>
        </w:rPr>
        <w:t>2024</w:t>
      </w:r>
      <w:r>
        <w:rPr>
          <w:rFonts w:hint="default" w:ascii="Times New Roman" w:hAnsi="Times New Roman" w:eastAsia="楷体_GB2312" w:cs="Times New Roman"/>
          <w:sz w:val="32"/>
          <w:szCs w:val="32"/>
          <w:highlight w:val="none"/>
        </w:rPr>
        <w:t>年</w:t>
      </w:r>
      <w:r>
        <w:rPr>
          <w:rFonts w:hint="eastAsia" w:ascii="Times New Roman" w:hAnsi="Times New Roman" w:eastAsia="楷体_GB2312" w:cs="Times New Roman"/>
          <w:sz w:val="32"/>
          <w:szCs w:val="32"/>
          <w:highlight w:val="none"/>
          <w:lang w:val="en-US" w:eastAsia="zh-CN"/>
        </w:rPr>
        <w:t>6</w:t>
      </w:r>
      <w:r>
        <w:rPr>
          <w:rFonts w:hint="default" w:ascii="Times New Roman" w:hAnsi="Times New Roman" w:eastAsia="楷体_GB2312" w:cs="Times New Roman"/>
          <w:sz w:val="32"/>
          <w:szCs w:val="32"/>
          <w:highlight w:val="none"/>
        </w:rPr>
        <w:t xml:space="preserve"> 月</w:t>
      </w:r>
      <w:r>
        <w:rPr>
          <w:rFonts w:hint="eastAsia" w:ascii="Times New Roman" w:hAnsi="Times New Roman" w:eastAsia="楷体_GB2312" w:cs="Times New Roman"/>
          <w:sz w:val="32"/>
          <w:szCs w:val="32"/>
          <w:highlight w:val="none"/>
          <w:lang w:val="en-US" w:eastAsia="zh-CN"/>
        </w:rPr>
        <w:t>21</w:t>
      </w:r>
      <w:r>
        <w:rPr>
          <w:rFonts w:hint="default" w:ascii="Times New Roman" w:hAnsi="Times New Roman" w:eastAsia="楷体_GB2312" w:cs="Times New Roman"/>
          <w:sz w:val="32"/>
          <w:szCs w:val="32"/>
          <w:highlight w:val="none"/>
        </w:rPr>
        <w:t>日</w:t>
      </w:r>
    </w:p>
    <w:p>
      <w:pPr>
        <w:jc w:val="cente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（此页为封面）</w:t>
      </w:r>
    </w:p>
    <w:p>
      <w:pPr>
        <w:jc w:val="center"/>
        <w:rPr>
          <w:rFonts w:hint="eastAsia" w:ascii="方正小标宋简体" w:hAnsi="方正小标宋简体" w:eastAsia="方正小标宋简体" w:cs="方正小标宋简体"/>
          <w:sz w:val="44"/>
          <w:szCs w:val="44"/>
          <w:highlight w:val="none"/>
        </w:rPr>
      </w:pPr>
      <w:r>
        <w:rPr>
          <w:rFonts w:hint="default" w:ascii="Times New Roman" w:hAnsi="Times New Roman" w:eastAsia="仿宋_GB2312" w:cs="Times New Roman"/>
          <w:sz w:val="32"/>
          <w:szCs w:val="32"/>
          <w:highlight w:val="none"/>
        </w:rPr>
        <w:br w:type="page"/>
      </w: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eastAsia="zh-CN"/>
        </w:rPr>
        <w:t>中共岳阳市君山区委党史研究室</w:t>
      </w:r>
      <w:r>
        <w:rPr>
          <w:rFonts w:hint="eastAsia" w:ascii="方正小标宋简体" w:hAnsi="方正小标宋简体" w:eastAsia="方正小标宋简体" w:cs="方正小标宋简体"/>
          <w:sz w:val="44"/>
          <w:szCs w:val="44"/>
          <w:highlight w:val="none"/>
        </w:rPr>
        <w:t>整体支出绩效自评报告</w:t>
      </w:r>
    </w:p>
    <w:p>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p>
    <w:p>
      <w:pPr>
        <w:keepNext w:val="0"/>
        <w:keepLines w:val="0"/>
        <w:pageBreakBefore w:val="0"/>
        <w:numPr>
          <w:ilvl w:val="0"/>
          <w:numId w:val="1"/>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部门基本情况</w:t>
      </w:r>
    </w:p>
    <w:p>
      <w:pPr>
        <w:keepNext w:val="0"/>
        <w:keepLines w:val="0"/>
        <w:pageBreakBefore w:val="0"/>
        <w:numPr>
          <w:ilvl w:val="0"/>
          <w:numId w:val="0"/>
        </w:numPr>
        <w:kinsoku/>
        <w:wordWrap/>
        <w:overflowPunct/>
        <w:topLinePunct w:val="0"/>
        <w:autoSpaceDE/>
        <w:autoSpaceDN/>
        <w:bidi w:val="0"/>
        <w:adjustRightInd/>
        <w:snapToGrid/>
        <w:spacing w:line="640" w:lineRule="exact"/>
        <w:jc w:val="both"/>
        <w:textAlignment w:val="auto"/>
        <w:rPr>
          <w:rFonts w:hint="eastAsia" w:ascii="Times New Roman" w:hAnsi="Times New Roman" w:eastAsia="楷体_GB2312" w:cs="Times New Roman"/>
          <w:b/>
          <w:kern w:val="0"/>
          <w:sz w:val="32"/>
          <w:szCs w:val="32"/>
          <w:highlight w:val="none"/>
          <w:lang w:val="en-US" w:eastAsia="zh-CN" w:bidi="ar-SA"/>
        </w:rPr>
      </w:pPr>
      <w:r>
        <w:rPr>
          <w:rFonts w:hint="eastAsia" w:ascii="Times New Roman" w:hAnsi="Times New Roman" w:eastAsia="黑体" w:cs="Times New Roman"/>
          <w:sz w:val="32"/>
          <w:szCs w:val="32"/>
          <w:highlight w:val="none"/>
          <w:lang w:eastAsia="zh-CN"/>
        </w:rPr>
        <w:t>　</w:t>
      </w:r>
      <w:r>
        <w:rPr>
          <w:rFonts w:hint="eastAsia" w:ascii="Times New Roman" w:hAnsi="Times New Roman" w:eastAsia="楷体_GB2312" w:cs="Times New Roman"/>
          <w:b/>
          <w:kern w:val="0"/>
          <w:sz w:val="32"/>
          <w:szCs w:val="32"/>
          <w:highlight w:val="none"/>
          <w:lang w:val="en-US" w:eastAsia="zh-CN" w:bidi="ar-SA"/>
        </w:rPr>
        <w:t>（一）单位基本情况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color w:val="000000"/>
          <w:sz w:val="32"/>
          <w:szCs w:val="32"/>
          <w:highlight w:val="none"/>
        </w:rPr>
      </w:pPr>
      <w:r>
        <w:rPr>
          <w:rFonts w:hint="eastAsia" w:ascii="Times New Roman" w:hAnsi="Times New Roman" w:eastAsia="仿宋_GB2312" w:cs="Times New Roman"/>
          <w:color w:val="000000"/>
          <w:sz w:val="32"/>
          <w:szCs w:val="32"/>
          <w:highlight w:val="none"/>
          <w:lang w:eastAsia="zh-CN"/>
        </w:rPr>
        <w:t>中共岳阳市君山区委党史研究室</w:t>
      </w:r>
      <w:r>
        <w:rPr>
          <w:rFonts w:hint="eastAsia" w:ascii="仿宋_GB2312" w:hAnsi="仿宋_GB2312" w:eastAsia="仿宋_GB2312" w:cs="仿宋_GB2312"/>
          <w:kern w:val="2"/>
          <w:sz w:val="32"/>
          <w:szCs w:val="32"/>
          <w:lang w:val="en-US" w:eastAsia="zh-CN" w:bidi="ar-SA"/>
        </w:rPr>
        <w:t>（以下简称我</w:t>
      </w:r>
      <w:r>
        <w:rPr>
          <w:rFonts w:hint="eastAsia" w:ascii="Times New Roman" w:hAnsi="Times New Roman" w:eastAsia="仿宋_GB2312" w:cs="Times New Roman"/>
          <w:color w:val="000000"/>
          <w:sz w:val="32"/>
          <w:szCs w:val="32"/>
          <w:highlight w:val="none"/>
          <w:lang w:eastAsia="zh-CN"/>
        </w:rPr>
        <w:t>室</w:t>
      </w:r>
      <w:r>
        <w:rPr>
          <w:rFonts w:hint="eastAsia" w:ascii="仿宋_GB2312" w:hAnsi="仿宋_GB2312" w:eastAsia="仿宋_GB2312" w:cs="仿宋_GB2312"/>
          <w:kern w:val="2"/>
          <w:sz w:val="32"/>
          <w:szCs w:val="32"/>
          <w:lang w:val="en-US" w:eastAsia="zh-CN" w:bidi="ar-SA"/>
        </w:rPr>
        <w:t>）</w:t>
      </w:r>
      <w:r>
        <w:rPr>
          <w:rFonts w:hint="default" w:ascii="Times New Roman" w:hAnsi="Times New Roman" w:eastAsia="仿宋_GB2312" w:cs="Times New Roman"/>
          <w:color w:val="000000"/>
          <w:sz w:val="32"/>
          <w:szCs w:val="32"/>
          <w:highlight w:val="none"/>
        </w:rPr>
        <w:t>为参照公务员法管理的事业单位，</w:t>
      </w:r>
      <w:r>
        <w:rPr>
          <w:rFonts w:hint="eastAsia" w:ascii="Times New Roman" w:hAnsi="Times New Roman" w:eastAsia="仿宋_GB2312" w:cs="Times New Roman"/>
          <w:color w:val="000000"/>
          <w:sz w:val="32"/>
          <w:szCs w:val="32"/>
          <w:highlight w:val="none"/>
          <w:lang w:eastAsia="zh-CN"/>
        </w:rPr>
        <w:t>其职能职责为</w:t>
      </w:r>
      <w:r>
        <w:rPr>
          <w:rFonts w:hint="default" w:ascii="Times New Roman" w:hAnsi="Times New Roman" w:eastAsia="仿宋_GB2312" w:cs="Times New Roman"/>
          <w:color w:val="000000"/>
          <w:sz w:val="32"/>
          <w:szCs w:val="32"/>
          <w:highlight w:val="none"/>
        </w:rPr>
        <w:t>：</w:t>
      </w:r>
    </w:p>
    <w:p>
      <w:pPr>
        <w:pStyle w:val="10"/>
        <w:keepNext w:val="0"/>
        <w:keepLines w:val="0"/>
        <w:pageBreakBefore w:val="0"/>
        <w:widowControl/>
        <w:numPr>
          <w:ilvl w:val="0"/>
          <w:numId w:val="2"/>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t>贯彻执行中共中央、省委、市委关于党史、地方志编修、档案管理的有关方针政策及规定，落实区委拟定的地方性的党史、地方志编修、档案管理工作的政策、规定、规划；</w:t>
      </w:r>
    </w:p>
    <w:p>
      <w:pPr>
        <w:pStyle w:val="10"/>
        <w:keepNext w:val="0"/>
        <w:keepLines w:val="0"/>
        <w:pageBreakBefore w:val="0"/>
        <w:widowControl/>
        <w:numPr>
          <w:ilvl w:val="0"/>
          <w:numId w:val="2"/>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t>收集整理研究君山地方党史、地方志文献资料，编辑出版《中共君山历史》等党史书刊和老同志回忆录，编写党史人物传记；</w:t>
      </w:r>
    </w:p>
    <w:p>
      <w:pPr>
        <w:pStyle w:val="10"/>
        <w:keepNext w:val="0"/>
        <w:keepLines w:val="0"/>
        <w:pageBreakBefore w:val="0"/>
        <w:widowControl/>
        <w:numPr>
          <w:ilvl w:val="0"/>
          <w:numId w:val="2"/>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t>组织编辑出版 《君山区志》和《君山年鉴》;负责</w:t>
      </w:r>
    </w:p>
    <w:p>
      <w:pPr>
        <w:pStyle w:val="10"/>
        <w:keepNext w:val="0"/>
        <w:keepLines w:val="0"/>
        <w:pageBreakBefore w:val="0"/>
        <w:widowControl/>
        <w:numPr>
          <w:ilvl w:val="0"/>
          <w:numId w:val="0"/>
        </w:numPr>
        <w:kinsoku/>
        <w:wordWrap/>
        <w:overflowPunct/>
        <w:topLinePunct w:val="0"/>
        <w:autoSpaceDE/>
        <w:autoSpaceDN/>
        <w:bidi w:val="0"/>
        <w:adjustRightInd/>
        <w:snapToGrid/>
        <w:spacing w:line="640" w:lineRule="exact"/>
        <w:jc w:val="both"/>
        <w:textAlignment w:val="auto"/>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t>接收按照规定移交进馆的各种门类和载体的档案资料，负责征集散存在社会上的反应我区各个历史时期具有重要历史价值和历史研究的档案资料及著名人物在君山活动中形成的档案资料；</w:t>
      </w:r>
    </w:p>
    <w:p>
      <w:pPr>
        <w:pStyle w:val="10"/>
        <w:keepNext w:val="0"/>
        <w:keepLines w:val="0"/>
        <w:pageBreakBefore w:val="0"/>
        <w:widowControl/>
        <w:numPr>
          <w:ilvl w:val="0"/>
          <w:numId w:val="2"/>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t>负责馆藏资料的的科学分类和保管，建立全宗卷，记载立档单位和全宗历史演变情况；</w:t>
      </w:r>
    </w:p>
    <w:p>
      <w:pPr>
        <w:pStyle w:val="10"/>
        <w:keepNext w:val="0"/>
        <w:keepLines w:val="0"/>
        <w:pageBreakBefore w:val="0"/>
        <w:widowControl/>
        <w:numPr>
          <w:ilvl w:val="0"/>
          <w:numId w:val="2"/>
        </w:numPr>
        <w:kinsoku/>
        <w:wordWrap/>
        <w:overflowPunct/>
        <w:topLinePunct w:val="0"/>
        <w:autoSpaceDE/>
        <w:autoSpaceDN/>
        <w:bidi w:val="0"/>
        <w:adjustRightInd/>
        <w:snapToGrid/>
        <w:spacing w:line="640" w:lineRule="exact"/>
        <w:ind w:left="0" w:leftChars="0" w:firstLine="640" w:firstLineChars="200"/>
        <w:jc w:val="both"/>
        <w:textAlignment w:val="auto"/>
        <w:rPr>
          <w:rFonts w:hint="eastAsia" w:ascii="Times New Roman" w:hAnsi="Times New Roman" w:eastAsia="楷体_GB2312" w:cs="Times New Roman"/>
          <w:b/>
          <w:sz w:val="32"/>
          <w:szCs w:val="32"/>
          <w:highlight w:val="none"/>
          <w:lang w:eastAsia="zh-CN"/>
        </w:rPr>
      </w:pPr>
      <w:r>
        <w:rPr>
          <w:rFonts w:hint="default" w:ascii="Times New Roman" w:hAnsi="Times New Roman" w:eastAsia="仿宋_GB2312" w:cs="Times New Roman"/>
          <w:color w:val="000000"/>
          <w:sz w:val="32"/>
          <w:szCs w:val="32"/>
          <w:highlight w:val="none"/>
        </w:rPr>
        <w:t>利用现代化管理技术和设备研究档案现代化管理技术，提高档案管理的现代化水平，推进区档案数字化建设，全方位有效的开发档案信息资源。</w:t>
      </w:r>
    </w:p>
    <w:p>
      <w:pPr>
        <w:pStyle w:val="10"/>
        <w:keepNext w:val="0"/>
        <w:keepLines w:val="0"/>
        <w:pageBreakBefore w:val="0"/>
        <w:widowControl/>
        <w:numPr>
          <w:ilvl w:val="0"/>
          <w:numId w:val="0"/>
        </w:numPr>
        <w:kinsoku/>
        <w:wordWrap/>
        <w:overflowPunct/>
        <w:topLinePunct w:val="0"/>
        <w:autoSpaceDE/>
        <w:autoSpaceDN/>
        <w:bidi w:val="0"/>
        <w:adjustRightInd/>
        <w:snapToGrid/>
        <w:spacing w:line="640" w:lineRule="exact"/>
        <w:ind w:leftChars="200"/>
        <w:jc w:val="both"/>
        <w:textAlignment w:val="auto"/>
        <w:rPr>
          <w:rFonts w:hint="eastAsia" w:ascii="Times New Roman" w:hAnsi="Times New Roman" w:eastAsia="仿宋_GB2312" w:cs="Times New Roman"/>
          <w:b/>
          <w:sz w:val="32"/>
          <w:szCs w:val="32"/>
          <w:highlight w:val="none"/>
          <w:lang w:val="en-US" w:eastAsia="zh-CN"/>
        </w:rPr>
      </w:pPr>
      <w:r>
        <w:rPr>
          <w:rFonts w:hint="eastAsia" w:ascii="Times New Roman" w:hAnsi="Times New Roman" w:eastAsia="仿宋_GB2312" w:cs="Times New Roman"/>
          <w:color w:val="000000"/>
          <w:sz w:val="32"/>
          <w:szCs w:val="32"/>
          <w:highlight w:val="none"/>
          <w:lang w:val="en-US" w:eastAsia="zh-CN"/>
        </w:rPr>
        <w:t>6、完成区委、区政府交办的其他任务。</w:t>
      </w:r>
    </w:p>
    <w:p>
      <w:pPr>
        <w:pStyle w:val="10"/>
        <w:keepNext w:val="0"/>
        <w:keepLines w:val="0"/>
        <w:pageBreakBefore w:val="0"/>
        <w:widowControl/>
        <w:numPr>
          <w:ilvl w:val="0"/>
          <w:numId w:val="0"/>
        </w:numPr>
        <w:kinsoku/>
        <w:wordWrap/>
        <w:overflowPunct/>
        <w:topLinePunct w:val="0"/>
        <w:autoSpaceDE/>
        <w:autoSpaceDN/>
        <w:bidi w:val="0"/>
        <w:adjustRightInd/>
        <w:snapToGrid/>
        <w:spacing w:line="640" w:lineRule="exact"/>
        <w:ind w:leftChars="200"/>
        <w:jc w:val="both"/>
        <w:textAlignment w:val="auto"/>
        <w:rPr>
          <w:rFonts w:hint="eastAsia" w:ascii="Times New Roman" w:hAnsi="Times New Roman" w:eastAsia="楷体_GB2312" w:cs="Times New Roman"/>
          <w:b/>
          <w:sz w:val="32"/>
          <w:szCs w:val="32"/>
          <w:highlight w:val="none"/>
          <w:lang w:eastAsia="zh-CN"/>
        </w:rPr>
      </w:pPr>
      <w:r>
        <w:rPr>
          <w:rFonts w:hint="eastAsia" w:ascii="Times New Roman" w:hAnsi="Times New Roman" w:eastAsia="楷体_GB2312" w:cs="Times New Roman"/>
          <w:b/>
          <w:sz w:val="32"/>
          <w:szCs w:val="32"/>
          <w:highlight w:val="none"/>
          <w:lang w:eastAsia="zh-CN"/>
        </w:rPr>
        <w:t>（二）机构设置与人员情况</w:t>
      </w:r>
    </w:p>
    <w:p>
      <w:pPr>
        <w:pStyle w:val="10"/>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color w:val="000000"/>
          <w:kern w:val="0"/>
          <w:sz w:val="32"/>
          <w:szCs w:val="32"/>
          <w:highlight w:val="none"/>
          <w:lang w:val="en-US" w:eastAsia="zh-CN" w:bidi="ar-SA"/>
        </w:rPr>
      </w:pPr>
      <w:r>
        <w:rPr>
          <w:rFonts w:hint="eastAsia" w:ascii="仿宋_GB2312" w:hAnsi="仿宋_GB2312" w:eastAsia="仿宋_GB2312" w:cs="仿宋_GB2312"/>
          <w:kern w:val="2"/>
          <w:sz w:val="32"/>
          <w:szCs w:val="32"/>
          <w:lang w:val="en-US" w:eastAsia="zh-CN" w:bidi="ar-SA"/>
        </w:rPr>
        <w:t>我</w:t>
      </w:r>
      <w:r>
        <w:rPr>
          <w:rFonts w:hint="eastAsia" w:ascii="Times New Roman" w:hAnsi="Times New Roman" w:eastAsia="仿宋_GB2312" w:cs="Times New Roman"/>
          <w:color w:val="000000"/>
          <w:sz w:val="32"/>
          <w:szCs w:val="32"/>
          <w:highlight w:val="none"/>
          <w:lang w:eastAsia="zh-CN"/>
        </w:rPr>
        <w:t>室</w:t>
      </w:r>
      <w:r>
        <w:rPr>
          <w:rFonts w:hint="default" w:ascii="Times New Roman" w:hAnsi="Times New Roman" w:eastAsia="仿宋_GB2312" w:cs="Times New Roman"/>
          <w:color w:val="000000"/>
          <w:kern w:val="0"/>
          <w:sz w:val="32"/>
          <w:szCs w:val="32"/>
          <w:highlight w:val="none"/>
          <w:lang w:val="en-US" w:eastAsia="zh-CN" w:bidi="ar-SA"/>
        </w:rPr>
        <w:t>设办公室、党史编研股、地方志编纂股、档案接收征集股、档案管理利用股、信息技术股</w:t>
      </w:r>
      <w:r>
        <w:rPr>
          <w:rFonts w:hint="eastAsia" w:ascii="Times New Roman" w:hAnsi="Times New Roman" w:eastAsia="仿宋_GB2312" w:cs="Times New Roman"/>
          <w:color w:val="000000"/>
          <w:kern w:val="0"/>
          <w:sz w:val="32"/>
          <w:szCs w:val="32"/>
          <w:highlight w:val="none"/>
          <w:lang w:val="en-US" w:eastAsia="zh-CN" w:bidi="ar-SA"/>
        </w:rPr>
        <w:t>6</w:t>
      </w:r>
      <w:r>
        <w:rPr>
          <w:rFonts w:hint="default" w:ascii="Times New Roman" w:hAnsi="Times New Roman" w:eastAsia="仿宋_GB2312" w:cs="Times New Roman"/>
          <w:color w:val="000000"/>
          <w:kern w:val="0"/>
          <w:sz w:val="32"/>
          <w:szCs w:val="32"/>
          <w:highlight w:val="none"/>
          <w:lang w:val="en-US" w:eastAsia="zh-CN" w:bidi="ar-SA"/>
        </w:rPr>
        <w:t>个职能股室。</w:t>
      </w:r>
      <w:r>
        <w:rPr>
          <w:rFonts w:hint="eastAsia" w:ascii="Times New Roman" w:hAnsi="Times New Roman" w:eastAsia="仿宋_GB2312" w:cs="Times New Roman"/>
          <w:color w:val="000000"/>
          <w:kern w:val="0"/>
          <w:sz w:val="32"/>
          <w:szCs w:val="32"/>
          <w:highlight w:val="none"/>
          <w:lang w:val="en-US" w:eastAsia="zh-CN" w:bidi="ar-SA"/>
        </w:rPr>
        <w:t>2023</w:t>
      </w:r>
      <w:r>
        <w:rPr>
          <w:rFonts w:hint="default" w:ascii="Times New Roman" w:hAnsi="Times New Roman" w:eastAsia="仿宋_GB2312" w:cs="Times New Roman"/>
          <w:color w:val="000000"/>
          <w:kern w:val="0"/>
          <w:sz w:val="32"/>
          <w:szCs w:val="32"/>
          <w:highlight w:val="none"/>
          <w:lang w:val="en-US" w:eastAsia="zh-CN" w:bidi="ar-SA"/>
        </w:rPr>
        <w:t>年末</w:t>
      </w:r>
      <w:r>
        <w:rPr>
          <w:rFonts w:hint="eastAsia" w:ascii="Times New Roman" w:hAnsi="Times New Roman" w:eastAsia="仿宋_GB2312" w:cs="Times New Roman"/>
          <w:color w:val="000000"/>
          <w:kern w:val="0"/>
          <w:sz w:val="32"/>
          <w:szCs w:val="32"/>
          <w:highlight w:val="none"/>
          <w:lang w:val="en-US" w:eastAsia="zh-CN" w:bidi="ar-SA"/>
        </w:rPr>
        <w:t>共有在职人员8人，其中，行政人员0人，参公事业人员8人。</w:t>
      </w:r>
    </w:p>
    <w:p>
      <w:pPr>
        <w:pStyle w:val="10"/>
        <w:keepNext w:val="0"/>
        <w:keepLines w:val="0"/>
        <w:pageBreakBefore w:val="0"/>
        <w:widowControl/>
        <w:numPr>
          <w:ilvl w:val="0"/>
          <w:numId w:val="3"/>
        </w:numPr>
        <w:kinsoku/>
        <w:wordWrap/>
        <w:overflowPunct/>
        <w:topLinePunct w:val="0"/>
        <w:autoSpaceDE/>
        <w:autoSpaceDN/>
        <w:bidi w:val="0"/>
        <w:adjustRightInd/>
        <w:snapToGrid/>
        <w:spacing w:line="640" w:lineRule="exact"/>
        <w:ind w:firstLine="643" w:firstLineChars="200"/>
        <w:jc w:val="both"/>
        <w:textAlignment w:val="auto"/>
        <w:rPr>
          <w:rFonts w:hint="eastAsia" w:ascii="Times New Roman" w:hAnsi="Times New Roman" w:eastAsia="楷体_GB2312" w:cs="Times New Roman"/>
          <w:b/>
          <w:sz w:val="32"/>
          <w:szCs w:val="32"/>
          <w:highlight w:val="none"/>
          <w:lang w:val="en-US" w:eastAsia="zh-CN"/>
        </w:rPr>
      </w:pPr>
      <w:r>
        <w:rPr>
          <w:rFonts w:hint="eastAsia" w:ascii="Times New Roman" w:hAnsi="Times New Roman" w:eastAsia="楷体_GB2312" w:cs="Times New Roman"/>
          <w:b/>
          <w:sz w:val="32"/>
          <w:szCs w:val="32"/>
          <w:highlight w:val="none"/>
          <w:lang w:val="en-US" w:eastAsia="zh-CN"/>
        </w:rPr>
        <w:t>单位绩效目标</w:t>
      </w:r>
    </w:p>
    <w:p>
      <w:pPr>
        <w:pStyle w:val="10"/>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2"/>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整体支出绩效目标：以规范预算绩效管理结构为基础、以预算项目为载体、绩效管理为主线，围绕“存史、资政、育人”职能，进一步加强制度建设，提高财政资金使用绩效，促进管理效能提升。　</w:t>
      </w:r>
    </w:p>
    <w:p>
      <w:pPr>
        <w:pStyle w:val="10"/>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color w:val="000000"/>
          <w:kern w:val="0"/>
          <w:sz w:val="32"/>
          <w:szCs w:val="32"/>
          <w:highlight w:val="none"/>
          <w:lang w:val="en-US" w:eastAsia="zh-CN" w:bidi="ar-SA"/>
        </w:rPr>
      </w:pPr>
      <w:r>
        <w:rPr>
          <w:rFonts w:hint="eastAsia" w:ascii="仿宋_GB2312" w:hAnsi="仿宋_GB2312" w:eastAsia="仿宋_GB2312" w:cs="仿宋_GB2312"/>
          <w:kern w:val="2"/>
          <w:sz w:val="32"/>
          <w:szCs w:val="32"/>
          <w:lang w:val="en-US" w:eastAsia="zh-CN" w:bidi="ar-SA"/>
        </w:rPr>
        <w:t>项目支出绩效目标：潜心编研，扎实推进党史研究工作，打造精品高效有序，抓好方志编纂，突出特色持之以恒，抓好党史宣教，历史无本职稳中求进，强化档案业务。</w:t>
      </w:r>
    </w:p>
    <w:p>
      <w:pPr>
        <w:pStyle w:val="10"/>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二、一般公共预算支出情况</w:t>
      </w:r>
    </w:p>
    <w:p>
      <w:pPr>
        <w:pStyle w:val="10"/>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楷体_GB2312" w:cs="Times New Roman"/>
          <w:b/>
          <w:sz w:val="32"/>
          <w:szCs w:val="32"/>
          <w:highlight w:val="none"/>
        </w:rPr>
      </w:pPr>
      <w:r>
        <w:rPr>
          <w:rFonts w:hint="eastAsia" w:ascii="仿宋_GB2312" w:hAnsi="仿宋_GB2312" w:eastAsia="仿宋_GB2312" w:cs="仿宋_GB2312"/>
          <w:kern w:val="2"/>
          <w:sz w:val="32"/>
          <w:szCs w:val="32"/>
          <w:lang w:val="en-US" w:eastAsia="zh-CN" w:bidi="ar-SA"/>
        </w:rPr>
        <w:t>我</w:t>
      </w:r>
      <w:r>
        <w:rPr>
          <w:rFonts w:hint="eastAsia" w:ascii="Times New Roman" w:hAnsi="Times New Roman" w:eastAsia="仿宋_GB2312" w:cs="Times New Roman"/>
          <w:color w:val="000000"/>
          <w:sz w:val="32"/>
          <w:szCs w:val="32"/>
          <w:highlight w:val="none"/>
          <w:lang w:eastAsia="zh-CN"/>
        </w:rPr>
        <w:t>室</w:t>
      </w:r>
      <w:r>
        <w:rPr>
          <w:rFonts w:hint="eastAsia" w:ascii="仿宋_GB2312" w:hAnsi="仿宋_GB2312" w:eastAsia="仿宋_GB2312" w:cs="仿宋_GB2312"/>
          <w:kern w:val="2"/>
          <w:sz w:val="32"/>
          <w:szCs w:val="32"/>
          <w:lang w:val="en-US" w:eastAsia="zh-CN" w:bidi="ar-SA"/>
        </w:rPr>
        <w:t>2023年</w:t>
      </w:r>
      <w:r>
        <w:rPr>
          <w:rFonts w:hint="default" w:ascii="仿宋_GB2312" w:hAnsi="仿宋_GB2312" w:eastAsia="仿宋_GB2312" w:cs="仿宋_GB2312"/>
          <w:kern w:val="2"/>
          <w:sz w:val="32"/>
          <w:szCs w:val="32"/>
          <w:lang w:val="en-US" w:eastAsia="zh-CN" w:bidi="ar-SA"/>
        </w:rPr>
        <w:t>全年</w:t>
      </w:r>
      <w:r>
        <w:rPr>
          <w:rFonts w:hint="eastAsia" w:ascii="仿宋_GB2312" w:hAnsi="仿宋_GB2312" w:eastAsia="仿宋_GB2312" w:cs="仿宋_GB2312"/>
          <w:kern w:val="2"/>
          <w:sz w:val="32"/>
          <w:szCs w:val="32"/>
          <w:lang w:val="en-US" w:eastAsia="zh-CN" w:bidi="ar-SA"/>
        </w:rPr>
        <w:t>预算资金284.76</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其中：</w:t>
      </w:r>
      <w:r>
        <w:rPr>
          <w:rFonts w:hint="default" w:ascii="仿宋_GB2312" w:hAnsi="仿宋_GB2312" w:eastAsia="仿宋_GB2312" w:cs="仿宋_GB2312"/>
          <w:kern w:val="2"/>
          <w:sz w:val="32"/>
          <w:szCs w:val="32"/>
          <w:lang w:val="en-US" w:eastAsia="zh-CN" w:bidi="ar-SA"/>
        </w:rPr>
        <w:t>基本支出</w:t>
      </w:r>
      <w:r>
        <w:rPr>
          <w:rFonts w:hint="eastAsia" w:ascii="仿宋_GB2312" w:hAnsi="仿宋_GB2312" w:eastAsia="仿宋_GB2312" w:cs="仿宋_GB2312"/>
          <w:kern w:val="2"/>
          <w:sz w:val="32"/>
          <w:szCs w:val="32"/>
          <w:lang w:val="en-US" w:eastAsia="zh-CN" w:bidi="ar-SA"/>
        </w:rPr>
        <w:t>123.57</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项目支出161.19</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。全年实际支出284.76</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其中：</w:t>
      </w:r>
      <w:r>
        <w:rPr>
          <w:rFonts w:hint="default" w:ascii="仿宋_GB2312" w:hAnsi="仿宋_GB2312" w:eastAsia="仿宋_GB2312" w:cs="仿宋_GB2312"/>
          <w:kern w:val="2"/>
          <w:sz w:val="32"/>
          <w:szCs w:val="32"/>
          <w:lang w:val="en-US" w:eastAsia="zh-CN" w:bidi="ar-SA"/>
        </w:rPr>
        <w:t>基本支出</w:t>
      </w:r>
      <w:r>
        <w:rPr>
          <w:rFonts w:hint="eastAsia" w:ascii="仿宋_GB2312" w:hAnsi="仿宋_GB2312" w:eastAsia="仿宋_GB2312" w:cs="仿宋_GB2312"/>
          <w:kern w:val="2"/>
          <w:sz w:val="32"/>
          <w:szCs w:val="32"/>
          <w:lang w:val="en-US" w:eastAsia="zh-CN" w:bidi="ar-SA"/>
        </w:rPr>
        <w:t>123.57</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项目支出161.19</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。预算执行率100%。</w:t>
      </w:r>
    </w:p>
    <w:p>
      <w:pPr>
        <w:pStyle w:val="10"/>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（一）基本支出情况</w:t>
      </w:r>
    </w:p>
    <w:p>
      <w:pPr>
        <w:pStyle w:val="10"/>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我</w:t>
      </w:r>
      <w:r>
        <w:rPr>
          <w:rFonts w:hint="eastAsia" w:ascii="Times New Roman" w:hAnsi="Times New Roman" w:eastAsia="仿宋_GB2312" w:cs="Times New Roman"/>
          <w:color w:val="000000"/>
          <w:sz w:val="32"/>
          <w:szCs w:val="32"/>
          <w:highlight w:val="none"/>
          <w:lang w:eastAsia="zh-CN"/>
        </w:rPr>
        <w:t>室</w:t>
      </w:r>
      <w:r>
        <w:rPr>
          <w:rFonts w:hint="eastAsia" w:ascii="仿宋_GB2312" w:hAnsi="仿宋_GB2312" w:eastAsia="仿宋_GB2312" w:cs="仿宋_GB2312"/>
          <w:kern w:val="2"/>
          <w:sz w:val="32"/>
          <w:szCs w:val="32"/>
          <w:lang w:val="en-US" w:eastAsia="zh-CN" w:bidi="ar-SA"/>
        </w:rPr>
        <w:t>2023年</w:t>
      </w:r>
      <w:r>
        <w:rPr>
          <w:rFonts w:hint="default" w:ascii="仿宋_GB2312" w:hAnsi="仿宋_GB2312" w:eastAsia="仿宋_GB2312" w:cs="仿宋_GB2312"/>
          <w:kern w:val="2"/>
          <w:sz w:val="32"/>
          <w:szCs w:val="32"/>
          <w:lang w:val="en-US" w:eastAsia="zh-CN" w:bidi="ar-SA"/>
        </w:rPr>
        <w:t>全年基本支出</w:t>
      </w:r>
      <w:r>
        <w:rPr>
          <w:rFonts w:hint="eastAsia" w:ascii="仿宋_GB2312" w:hAnsi="仿宋_GB2312" w:eastAsia="仿宋_GB2312" w:cs="仿宋_GB2312"/>
          <w:kern w:val="2"/>
          <w:sz w:val="32"/>
          <w:szCs w:val="32"/>
          <w:lang w:val="en-US" w:eastAsia="zh-CN" w:bidi="ar-SA"/>
        </w:rPr>
        <w:t>123.57</w:t>
      </w:r>
      <w:r>
        <w:rPr>
          <w:rFonts w:hint="default" w:ascii="仿宋_GB2312" w:hAnsi="仿宋_GB2312" w:eastAsia="仿宋_GB2312" w:cs="仿宋_GB2312"/>
          <w:kern w:val="2"/>
          <w:sz w:val="32"/>
          <w:szCs w:val="32"/>
          <w:lang w:val="en-US" w:eastAsia="zh-CN" w:bidi="ar-SA"/>
        </w:rPr>
        <w:t>万元，其中人员经费109</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41万元，公用经费14</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16万元。</w:t>
      </w:r>
    </w:p>
    <w:p>
      <w:pPr>
        <w:pStyle w:val="10"/>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基本支出主要是指为保障单位机构正常运转、完成日常工作任务而发生的各项支出，包括用于基本工资、绩效工资、津贴补贴、社会保障缴费等人员经费，办公费、印刷费、水电费、差旅费、公务接待费、维修（护）费等日常公用经费，以及离退休费用等其他对个人和家庭的补助支出。</w:t>
      </w:r>
    </w:p>
    <w:p>
      <w:pPr>
        <w:pStyle w:val="10"/>
        <w:keepNext w:val="0"/>
        <w:keepLines w:val="0"/>
        <w:pageBreakBefore w:val="0"/>
        <w:widowControl/>
        <w:numPr>
          <w:ilvl w:val="0"/>
          <w:numId w:val="4"/>
        </w:numPr>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项目支出情况</w:t>
      </w:r>
    </w:p>
    <w:p>
      <w:pPr>
        <w:pStyle w:val="10"/>
        <w:keepNext w:val="0"/>
        <w:keepLines w:val="0"/>
        <w:pageBreakBefore w:val="0"/>
        <w:widowControl/>
        <w:numPr>
          <w:ilvl w:val="0"/>
          <w:numId w:val="0"/>
        </w:numPr>
        <w:kinsoku/>
        <w:wordWrap/>
        <w:overflowPunct/>
        <w:topLinePunct w:val="0"/>
        <w:autoSpaceDE/>
        <w:autoSpaceDN/>
        <w:bidi w:val="0"/>
        <w:adjustRightInd/>
        <w:snapToGrid/>
        <w:spacing w:line="640" w:lineRule="exact"/>
        <w:jc w:val="both"/>
        <w:textAlignment w:val="auto"/>
        <w:rPr>
          <w:rFonts w:hint="eastAsia" w:ascii="仿宋_GB2312" w:hAnsi="仿宋_GB2312" w:eastAsia="仿宋_GB2312" w:cs="仿宋_GB2312"/>
          <w:kern w:val="2"/>
          <w:sz w:val="32"/>
          <w:szCs w:val="32"/>
          <w:lang w:val="en-US" w:eastAsia="zh-CN" w:bidi="ar-SA"/>
        </w:rPr>
      </w:pPr>
      <w:r>
        <w:rPr>
          <w:rFonts w:hint="eastAsia" w:ascii="Times New Roman" w:hAnsi="Times New Roman" w:eastAsia="楷体_GB2312" w:cs="Times New Roman"/>
          <w:b/>
          <w:sz w:val="32"/>
          <w:szCs w:val="32"/>
          <w:highlight w:val="none"/>
          <w:lang w:eastAsia="zh-CN"/>
        </w:rPr>
        <w:t>　</w:t>
      </w:r>
      <w:r>
        <w:rPr>
          <w:rFonts w:hint="eastAsia" w:ascii="仿宋_GB2312" w:hAnsi="仿宋_GB2312" w:eastAsia="仿宋_GB2312" w:cs="仿宋_GB2312"/>
          <w:kern w:val="2"/>
          <w:sz w:val="32"/>
          <w:szCs w:val="32"/>
          <w:lang w:val="en-US" w:eastAsia="zh-CN" w:bidi="ar-SA"/>
        </w:rPr>
        <w:t>　2023年</w:t>
      </w:r>
      <w:r>
        <w:rPr>
          <w:rFonts w:hint="default" w:ascii="仿宋_GB2312" w:hAnsi="仿宋_GB2312" w:eastAsia="仿宋_GB2312" w:cs="仿宋_GB2312"/>
          <w:kern w:val="2"/>
          <w:sz w:val="32"/>
          <w:szCs w:val="32"/>
          <w:lang w:val="en-US" w:eastAsia="zh-CN" w:bidi="ar-SA"/>
        </w:rPr>
        <w:t>，</w:t>
      </w:r>
      <w:r>
        <w:rPr>
          <w:rFonts w:hint="eastAsia" w:ascii="仿宋_GB2312" w:hAnsi="仿宋_GB2312" w:eastAsia="仿宋_GB2312" w:cs="仿宋_GB2312"/>
          <w:kern w:val="2"/>
          <w:sz w:val="32"/>
          <w:szCs w:val="32"/>
          <w:lang w:val="en-US" w:eastAsia="zh-CN" w:bidi="ar-SA"/>
        </w:rPr>
        <w:t>我室</w:t>
      </w:r>
      <w:r>
        <w:rPr>
          <w:rFonts w:hint="default" w:ascii="仿宋_GB2312" w:hAnsi="仿宋_GB2312" w:eastAsia="仿宋_GB2312" w:cs="仿宋_GB2312"/>
          <w:kern w:val="2"/>
          <w:sz w:val="32"/>
          <w:szCs w:val="32"/>
          <w:lang w:val="en-US" w:eastAsia="zh-CN" w:bidi="ar-SA"/>
        </w:rPr>
        <w:t>全年</w:t>
      </w:r>
      <w:r>
        <w:rPr>
          <w:rFonts w:hint="eastAsia" w:ascii="仿宋_GB2312" w:hAnsi="仿宋_GB2312" w:eastAsia="仿宋_GB2312" w:cs="仿宋_GB2312"/>
          <w:kern w:val="2"/>
          <w:sz w:val="32"/>
          <w:szCs w:val="32"/>
          <w:lang w:val="en-US" w:eastAsia="zh-CN" w:bidi="ar-SA"/>
        </w:rPr>
        <w:t>项目支出161.19</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，主要是本部门为完成特定工作任务或事业发展目标而发生的支出，包括有关事业发展专项、专项业务费、基本建设支出等，</w:t>
      </w:r>
      <w:r>
        <w:rPr>
          <w:rFonts w:hint="eastAsia" w:ascii="仿宋_GB2312" w:hAnsi="仿宋_GB2312" w:eastAsia="仿宋_GB2312" w:cs="仿宋_GB2312"/>
          <w:color w:val="000000"/>
          <w:kern w:val="2"/>
          <w:sz w:val="32"/>
          <w:szCs w:val="32"/>
          <w:shd w:val="clear" w:color="auto" w:fill="FFFFFF"/>
          <w:lang w:val="en-US" w:eastAsia="zh-CN" w:bidi="ar-SA"/>
        </w:rPr>
        <w:t>含党史研究室专项、业务工作经费等项目支出。</w:t>
      </w:r>
    </w:p>
    <w:p>
      <w:pPr>
        <w:pStyle w:val="10"/>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政府性基金预算支出情况</w:t>
      </w:r>
    </w:p>
    <w:p>
      <w:pPr>
        <w:pStyle w:val="10"/>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eastAsia" w:ascii="仿宋_GB2312" w:hAnsi="仿宋_GB2312" w:eastAsia="仿宋_GB2312" w:cs="仿宋_GB2312"/>
          <w:kern w:val="2"/>
          <w:sz w:val="32"/>
          <w:szCs w:val="32"/>
          <w:lang w:val="en-US" w:eastAsia="zh-CN" w:bidi="ar-SA"/>
        </w:rPr>
        <w:t>我</w:t>
      </w:r>
      <w:r>
        <w:rPr>
          <w:rFonts w:hint="eastAsia" w:ascii="Times New Roman" w:hAnsi="Times New Roman" w:eastAsia="仿宋_GB2312" w:cs="Times New Roman"/>
          <w:color w:val="000000"/>
          <w:sz w:val="32"/>
          <w:szCs w:val="32"/>
          <w:highlight w:val="none"/>
          <w:lang w:eastAsia="zh-CN"/>
        </w:rPr>
        <w:t>室</w:t>
      </w:r>
      <w:r>
        <w:rPr>
          <w:rFonts w:hint="eastAsia" w:ascii="仿宋_GB2312" w:hAnsi="仿宋_GB2312" w:eastAsia="仿宋_GB2312" w:cs="仿宋_GB2312"/>
          <w:kern w:val="2"/>
          <w:sz w:val="32"/>
          <w:szCs w:val="32"/>
          <w:lang w:val="en-US" w:eastAsia="zh-CN" w:bidi="ar-SA"/>
        </w:rPr>
        <w:t>无此项支出。</w:t>
      </w:r>
    </w:p>
    <w:p>
      <w:pPr>
        <w:pStyle w:val="10"/>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国有资本经营预算支出情况</w:t>
      </w:r>
    </w:p>
    <w:p>
      <w:pPr>
        <w:pStyle w:val="10"/>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eastAsia" w:ascii="仿宋_GB2312" w:hAnsi="仿宋_GB2312" w:eastAsia="仿宋_GB2312" w:cs="仿宋_GB2312"/>
          <w:kern w:val="2"/>
          <w:sz w:val="32"/>
          <w:szCs w:val="32"/>
          <w:lang w:val="en-US" w:eastAsia="zh-CN" w:bidi="ar-SA"/>
        </w:rPr>
        <w:t>我</w:t>
      </w:r>
      <w:r>
        <w:rPr>
          <w:rFonts w:hint="eastAsia" w:ascii="Times New Roman" w:hAnsi="Times New Roman" w:eastAsia="仿宋_GB2312" w:cs="Times New Roman"/>
          <w:color w:val="000000"/>
          <w:sz w:val="32"/>
          <w:szCs w:val="32"/>
          <w:highlight w:val="none"/>
          <w:lang w:eastAsia="zh-CN"/>
        </w:rPr>
        <w:t>室</w:t>
      </w:r>
      <w:r>
        <w:rPr>
          <w:rFonts w:hint="eastAsia" w:ascii="仿宋_GB2312" w:hAnsi="仿宋_GB2312" w:eastAsia="仿宋_GB2312" w:cs="仿宋_GB2312"/>
          <w:kern w:val="2"/>
          <w:sz w:val="32"/>
          <w:szCs w:val="32"/>
          <w:lang w:val="en-US" w:eastAsia="zh-CN" w:bidi="ar-SA"/>
        </w:rPr>
        <w:t>无此项支出。</w:t>
      </w:r>
    </w:p>
    <w:p>
      <w:pPr>
        <w:pStyle w:val="10"/>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社会保险基金预算支出情况</w:t>
      </w:r>
    </w:p>
    <w:p>
      <w:pPr>
        <w:pStyle w:val="10"/>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eastAsia" w:ascii="仿宋_GB2312" w:hAnsi="仿宋_GB2312" w:eastAsia="仿宋_GB2312" w:cs="仿宋_GB2312"/>
          <w:kern w:val="2"/>
          <w:sz w:val="32"/>
          <w:szCs w:val="32"/>
          <w:lang w:val="en-US" w:eastAsia="zh-CN" w:bidi="ar-SA"/>
        </w:rPr>
        <w:t>我</w:t>
      </w:r>
      <w:r>
        <w:rPr>
          <w:rFonts w:hint="eastAsia" w:ascii="Times New Roman" w:hAnsi="Times New Roman" w:eastAsia="仿宋_GB2312" w:cs="Times New Roman"/>
          <w:color w:val="000000"/>
          <w:sz w:val="32"/>
          <w:szCs w:val="32"/>
          <w:highlight w:val="none"/>
          <w:lang w:eastAsia="zh-CN"/>
        </w:rPr>
        <w:t>室</w:t>
      </w:r>
      <w:r>
        <w:rPr>
          <w:rFonts w:hint="eastAsia" w:ascii="仿宋_GB2312" w:hAnsi="仿宋_GB2312" w:eastAsia="仿宋_GB2312" w:cs="仿宋_GB2312"/>
          <w:kern w:val="2"/>
          <w:sz w:val="32"/>
          <w:szCs w:val="32"/>
          <w:lang w:val="en-US" w:eastAsia="zh-CN" w:bidi="ar-SA"/>
        </w:rPr>
        <w:t>无此项支出。</w:t>
      </w:r>
    </w:p>
    <w:p>
      <w:pPr>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部门整体支出绩效情况</w:t>
      </w:r>
    </w:p>
    <w:p>
      <w:pPr>
        <w:pStyle w:val="10"/>
        <w:keepNext w:val="0"/>
        <w:keepLines w:val="0"/>
        <w:pageBreakBefore w:val="0"/>
        <w:widowControl/>
        <w:kinsoku/>
        <w:wordWrap/>
        <w:overflowPunct/>
        <w:topLinePunct w:val="0"/>
        <w:autoSpaceDE/>
        <w:autoSpaceDN/>
        <w:bidi w:val="0"/>
        <w:adjustRightInd/>
        <w:snapToGrid/>
        <w:spacing w:line="640" w:lineRule="exact"/>
        <w:ind w:left="0" w:leftChars="0" w:firstLine="640" w:firstLineChars="0"/>
        <w:jc w:val="both"/>
        <w:textAlignment w:val="auto"/>
        <w:rPr>
          <w:rFonts w:hint="default"/>
        </w:rPr>
      </w:pPr>
      <w:r>
        <w:rPr>
          <w:rFonts w:hint="default" w:ascii="Times New Roman" w:hAnsi="Times New Roman" w:eastAsia="仿宋_GB2312" w:cs="Times New Roman"/>
          <w:color w:val="000000"/>
          <w:sz w:val="32"/>
          <w:szCs w:val="32"/>
          <w:highlight w:val="none"/>
        </w:rPr>
        <w:t>202</w:t>
      </w:r>
      <w:r>
        <w:rPr>
          <w:rFonts w:hint="eastAsia" w:ascii="Times New Roman" w:hAnsi="Times New Roman" w:eastAsia="仿宋_GB2312" w:cs="Times New Roman"/>
          <w:color w:val="000000"/>
          <w:sz w:val="32"/>
          <w:szCs w:val="32"/>
          <w:highlight w:val="none"/>
          <w:lang w:val="en-US" w:eastAsia="zh-CN"/>
        </w:rPr>
        <w:t>3</w:t>
      </w:r>
      <w:r>
        <w:rPr>
          <w:rFonts w:hint="default" w:ascii="Times New Roman" w:hAnsi="Times New Roman" w:eastAsia="仿宋_GB2312" w:cs="Times New Roman"/>
          <w:color w:val="000000"/>
          <w:sz w:val="32"/>
          <w:szCs w:val="32"/>
          <w:highlight w:val="none"/>
        </w:rPr>
        <w:t>年</w:t>
      </w:r>
      <w:r>
        <w:rPr>
          <w:rFonts w:hint="eastAsia" w:ascii="Times New Roman" w:hAnsi="Times New Roman" w:eastAsia="仿宋_GB2312" w:cs="Times New Roman"/>
          <w:color w:val="000000"/>
          <w:sz w:val="32"/>
          <w:szCs w:val="32"/>
          <w:highlight w:val="none"/>
          <w:lang w:eastAsia="zh-CN"/>
        </w:rPr>
        <w:t>，</w:t>
      </w:r>
      <w:r>
        <w:rPr>
          <w:rFonts w:hint="eastAsia" w:ascii="仿宋_GB2312" w:hAnsi="仿宋_GB2312" w:eastAsia="仿宋_GB2312" w:cs="仿宋_GB2312"/>
          <w:kern w:val="2"/>
          <w:sz w:val="32"/>
          <w:szCs w:val="32"/>
          <w:lang w:val="en-US" w:eastAsia="zh-CN" w:bidi="ar-SA"/>
        </w:rPr>
        <w:t>我</w:t>
      </w:r>
      <w:r>
        <w:rPr>
          <w:rFonts w:hint="eastAsia" w:ascii="Times New Roman" w:hAnsi="Times New Roman" w:eastAsia="仿宋_GB2312" w:cs="Times New Roman"/>
          <w:color w:val="000000"/>
          <w:sz w:val="32"/>
          <w:szCs w:val="32"/>
          <w:highlight w:val="none"/>
          <w:lang w:eastAsia="zh-CN"/>
        </w:rPr>
        <w:t>室严格执行预算，</w:t>
      </w:r>
      <w:r>
        <w:rPr>
          <w:rFonts w:hint="default" w:ascii="Times New Roman" w:hAnsi="Times New Roman" w:eastAsia="仿宋_GB2312" w:cs="Times New Roman"/>
          <w:color w:val="000000"/>
          <w:sz w:val="32"/>
          <w:szCs w:val="32"/>
          <w:highlight w:val="none"/>
        </w:rPr>
        <w:t>财务管理规范，各项工作任务全面完成，单位行政运行稳定有序</w:t>
      </w:r>
      <w:r>
        <w:rPr>
          <w:rFonts w:hint="eastAsia" w:ascii="Times New Roman" w:hAnsi="Times New Roman" w:eastAsia="仿宋_GB2312" w:cs="Times New Roman"/>
          <w:color w:val="000000"/>
          <w:sz w:val="32"/>
          <w:szCs w:val="32"/>
          <w:highlight w:val="none"/>
          <w:lang w:eastAsia="zh-CN"/>
        </w:rPr>
        <w:t>，</w:t>
      </w:r>
      <w:r>
        <w:rPr>
          <w:rFonts w:hint="eastAsia" w:ascii="仿宋_GB2312" w:hAnsi="仿宋_GB2312" w:eastAsia="仿宋_GB2312" w:cs="仿宋_GB2312"/>
          <w:kern w:val="2"/>
          <w:sz w:val="32"/>
          <w:szCs w:val="32"/>
          <w:lang w:val="en-US" w:eastAsia="zh-CN" w:bidi="ar-SA"/>
        </w:rPr>
        <w:t>部门整体支出绩效自评得分98分。</w:t>
      </w:r>
    </w:p>
    <w:p>
      <w:pPr>
        <w:keepNext w:val="0"/>
        <w:keepLines w:val="0"/>
        <w:pageBreakBefore w:val="0"/>
        <w:widowControl/>
        <w:numPr>
          <w:ilvl w:val="0"/>
          <w:numId w:val="5"/>
        </w:numPr>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仿宋_GB2312" w:cs="Times New Roman"/>
          <w:color w:val="000000"/>
          <w:sz w:val="32"/>
          <w:szCs w:val="32"/>
          <w:highlight w:val="none"/>
        </w:rPr>
      </w:pPr>
      <w:r>
        <w:rPr>
          <w:rFonts w:hint="eastAsia" w:ascii="仿宋_GB2312" w:hAnsi="仿宋_GB2312" w:eastAsia="仿宋_GB2312" w:cs="仿宋_GB2312"/>
          <w:kern w:val="2"/>
          <w:sz w:val="32"/>
          <w:szCs w:val="32"/>
          <w:lang w:val="en-US" w:eastAsia="zh-CN" w:bidi="ar-SA"/>
        </w:rPr>
        <w:t>预算财务管理方面</w:t>
      </w:r>
    </w:p>
    <w:p>
      <w:pPr>
        <w:pStyle w:val="10"/>
        <w:keepNext w:val="0"/>
        <w:keepLines w:val="0"/>
        <w:pageBreakBefore w:val="0"/>
        <w:widowControl/>
        <w:kinsoku/>
        <w:wordWrap/>
        <w:overflowPunct/>
        <w:topLinePunct w:val="0"/>
        <w:autoSpaceDE/>
        <w:autoSpaceDN/>
        <w:bidi w:val="0"/>
        <w:adjustRightInd/>
        <w:snapToGrid/>
        <w:spacing w:line="640" w:lineRule="exact"/>
        <w:ind w:left="0" w:leftChars="0" w:firstLine="640" w:firstLineChars="0"/>
        <w:jc w:val="both"/>
        <w:textAlignment w:val="auto"/>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t>202</w:t>
      </w:r>
      <w:r>
        <w:rPr>
          <w:rFonts w:hint="eastAsia" w:ascii="Times New Roman" w:hAnsi="Times New Roman" w:eastAsia="仿宋_GB2312" w:cs="Times New Roman"/>
          <w:color w:val="000000"/>
          <w:sz w:val="32"/>
          <w:szCs w:val="32"/>
          <w:highlight w:val="none"/>
          <w:lang w:val="en-US" w:eastAsia="zh-CN"/>
        </w:rPr>
        <w:t>3</w:t>
      </w:r>
      <w:r>
        <w:rPr>
          <w:rFonts w:hint="default" w:ascii="Times New Roman" w:hAnsi="Times New Roman" w:eastAsia="仿宋_GB2312" w:cs="Times New Roman"/>
          <w:color w:val="000000"/>
          <w:sz w:val="32"/>
          <w:szCs w:val="32"/>
          <w:highlight w:val="none"/>
        </w:rPr>
        <w:t>年</w:t>
      </w:r>
      <w:r>
        <w:rPr>
          <w:rFonts w:hint="eastAsia" w:ascii="Times New Roman" w:hAnsi="Times New Roman" w:eastAsia="仿宋_GB2312" w:cs="Times New Roman"/>
          <w:color w:val="000000"/>
          <w:sz w:val="32"/>
          <w:szCs w:val="32"/>
          <w:highlight w:val="none"/>
          <w:lang w:eastAsia="zh-CN"/>
        </w:rPr>
        <w:t>，</w:t>
      </w:r>
      <w:r>
        <w:rPr>
          <w:rFonts w:hint="eastAsia" w:ascii="仿宋_GB2312" w:hAnsi="仿宋_GB2312" w:eastAsia="仿宋_GB2312" w:cs="仿宋_GB2312"/>
          <w:kern w:val="2"/>
          <w:sz w:val="32"/>
          <w:szCs w:val="32"/>
          <w:lang w:val="en-US" w:eastAsia="zh-CN" w:bidi="ar-SA"/>
        </w:rPr>
        <w:t>我</w:t>
      </w:r>
      <w:r>
        <w:rPr>
          <w:rFonts w:hint="eastAsia" w:ascii="Times New Roman" w:hAnsi="Times New Roman" w:eastAsia="仿宋_GB2312" w:cs="Times New Roman"/>
          <w:color w:val="000000"/>
          <w:sz w:val="32"/>
          <w:szCs w:val="32"/>
          <w:highlight w:val="none"/>
          <w:lang w:eastAsia="zh-CN"/>
        </w:rPr>
        <w:t>室</w:t>
      </w:r>
      <w:r>
        <w:rPr>
          <w:rFonts w:hint="default" w:ascii="Times New Roman" w:hAnsi="Times New Roman" w:eastAsia="仿宋_GB2312" w:cs="Times New Roman"/>
          <w:color w:val="000000"/>
          <w:sz w:val="32"/>
          <w:szCs w:val="32"/>
          <w:highlight w:val="none"/>
        </w:rPr>
        <w:t>严格遵守各项规章制度，严格执行经费审批制度、报销程序，加强了经费支出的监督管理，实现了资金申请、审批、拨付、监督等全流程制度化管理；坚持经费预算科学化、精细化，执行控制规范化、责任化，监督检查常态化、同步化；资金使用没有截留、挪用、虚列支出、随意借用等情况；重大财务事项经由集体研究决策；专项资金做到专款专用；原始凭证的取得真实有效。部门预决算信息按规定内容，在规定的时限内予以公开。基础数据信息和会计信息资料真实、完整、准确。</w:t>
      </w:r>
    </w:p>
    <w:p>
      <w:pPr>
        <w:pStyle w:val="2"/>
        <w:keepNext w:val="0"/>
        <w:keepLines w:val="0"/>
        <w:pageBreakBefore w:val="0"/>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仿宋_GB2312" w:cs="Times New Roman"/>
          <w:color w:val="000000"/>
          <w:kern w:val="0"/>
          <w:sz w:val="32"/>
          <w:szCs w:val="32"/>
          <w:lang w:val="en-US" w:eastAsia="zh-CN" w:bidi="ar-SA"/>
        </w:rPr>
      </w:pPr>
      <w:r>
        <w:rPr>
          <w:rFonts w:hint="eastAsia" w:ascii="仿宋_GB2312" w:hAnsi="仿宋_GB2312" w:eastAsia="仿宋_GB2312" w:cs="仿宋_GB2312"/>
          <w:kern w:val="44"/>
          <w:sz w:val="32"/>
          <w:szCs w:val="32"/>
          <w:lang w:val="en-US" w:eastAsia="zh-CN" w:bidi="ar"/>
        </w:rPr>
        <w:t>（二）履职产出效益方面</w:t>
      </w:r>
    </w:p>
    <w:p>
      <w:pPr>
        <w:pStyle w:val="10"/>
        <w:keepNext w:val="0"/>
        <w:keepLines w:val="0"/>
        <w:pageBreakBefore w:val="0"/>
        <w:widowControl/>
        <w:kinsoku/>
        <w:wordWrap/>
        <w:overflowPunct/>
        <w:topLinePunct w:val="0"/>
        <w:autoSpaceDE/>
        <w:autoSpaceDN/>
        <w:bidi w:val="0"/>
        <w:adjustRightInd/>
        <w:snapToGrid/>
        <w:spacing w:line="640" w:lineRule="exact"/>
        <w:ind w:left="0" w:leftChars="0" w:firstLine="640" w:firstLineChars="0"/>
        <w:jc w:val="both"/>
        <w:textAlignment w:val="auto"/>
        <w:rPr>
          <w:rFonts w:hint="eastAsia" w:ascii="Times New Roman" w:hAnsi="Times New Roman" w:eastAsia="仿宋_GB2312" w:cs="Times New Roman"/>
          <w:color w:val="000000"/>
          <w:sz w:val="32"/>
          <w:szCs w:val="32"/>
          <w:highlight w:val="none"/>
          <w:lang w:eastAsia="zh-CN"/>
        </w:rPr>
      </w:pPr>
      <w:r>
        <w:rPr>
          <w:rFonts w:hint="default" w:ascii="Times New Roman" w:hAnsi="Times New Roman" w:eastAsia="仿宋_GB2312" w:cs="Times New Roman"/>
          <w:color w:val="000000"/>
          <w:sz w:val="32"/>
          <w:szCs w:val="32"/>
          <w:highlight w:val="none"/>
        </w:rPr>
        <w:t>202</w:t>
      </w:r>
      <w:r>
        <w:rPr>
          <w:rFonts w:hint="eastAsia" w:ascii="Times New Roman" w:hAnsi="Times New Roman" w:eastAsia="仿宋_GB2312" w:cs="Times New Roman"/>
          <w:color w:val="000000"/>
          <w:sz w:val="32"/>
          <w:szCs w:val="32"/>
          <w:highlight w:val="none"/>
          <w:lang w:val="en-US" w:eastAsia="zh-CN"/>
        </w:rPr>
        <w:t>3</w:t>
      </w:r>
      <w:r>
        <w:rPr>
          <w:rFonts w:hint="default" w:ascii="Times New Roman" w:hAnsi="Times New Roman" w:eastAsia="仿宋_GB2312" w:cs="Times New Roman"/>
          <w:color w:val="000000"/>
          <w:sz w:val="32"/>
          <w:szCs w:val="32"/>
          <w:highlight w:val="none"/>
        </w:rPr>
        <w:t>年</w:t>
      </w:r>
      <w:r>
        <w:rPr>
          <w:rFonts w:hint="eastAsia" w:ascii="Times New Roman" w:hAnsi="Times New Roman" w:eastAsia="仿宋_GB2312" w:cs="Times New Roman"/>
          <w:color w:val="000000"/>
          <w:sz w:val="32"/>
          <w:szCs w:val="32"/>
          <w:highlight w:val="none"/>
          <w:lang w:eastAsia="zh-CN"/>
        </w:rPr>
        <w:t>，</w:t>
      </w:r>
      <w:r>
        <w:rPr>
          <w:rFonts w:hint="eastAsia" w:ascii="仿宋_GB2312" w:hAnsi="仿宋_GB2312" w:eastAsia="仿宋_GB2312" w:cs="仿宋_GB2312"/>
          <w:kern w:val="2"/>
          <w:sz w:val="32"/>
          <w:szCs w:val="32"/>
          <w:lang w:val="en-US" w:eastAsia="zh-CN" w:bidi="ar-SA"/>
        </w:rPr>
        <w:t>我</w:t>
      </w:r>
      <w:r>
        <w:rPr>
          <w:rFonts w:hint="eastAsia" w:ascii="Times New Roman" w:hAnsi="Times New Roman" w:eastAsia="仿宋_GB2312" w:cs="Times New Roman"/>
          <w:color w:val="000000"/>
          <w:sz w:val="32"/>
          <w:szCs w:val="32"/>
          <w:highlight w:val="none"/>
          <w:lang w:eastAsia="zh-CN"/>
        </w:rPr>
        <w:t>室</w:t>
      </w:r>
      <w:r>
        <w:rPr>
          <w:rFonts w:hint="default" w:ascii="Times New Roman" w:hAnsi="Times New Roman" w:eastAsia="仿宋_GB2312" w:cs="Times New Roman"/>
          <w:color w:val="000000"/>
          <w:sz w:val="32"/>
          <w:szCs w:val="32"/>
          <w:highlight w:val="none"/>
        </w:rPr>
        <w:t>认真履行</w:t>
      </w:r>
      <w:r>
        <w:rPr>
          <w:rFonts w:hint="eastAsia" w:ascii="Times New Roman" w:hAnsi="Times New Roman" w:eastAsia="仿宋_GB2312" w:cs="Times New Roman"/>
          <w:color w:val="000000"/>
          <w:sz w:val="32"/>
          <w:szCs w:val="32"/>
          <w:highlight w:val="none"/>
          <w:lang w:eastAsia="zh-CN"/>
        </w:rPr>
        <w:t>部门职责</w:t>
      </w:r>
      <w:r>
        <w:rPr>
          <w:rFonts w:hint="default" w:ascii="Times New Roman" w:hAnsi="Times New Roman" w:eastAsia="仿宋_GB2312" w:cs="Times New Roman"/>
          <w:color w:val="000000"/>
          <w:sz w:val="32"/>
          <w:szCs w:val="32"/>
          <w:highlight w:val="none"/>
        </w:rPr>
        <w:t>，</w:t>
      </w:r>
      <w:r>
        <w:rPr>
          <w:rFonts w:hint="eastAsia" w:ascii="Times New Roman" w:hAnsi="Times New Roman" w:eastAsia="仿宋_GB2312" w:cs="Times New Roman"/>
          <w:color w:val="000000"/>
          <w:sz w:val="32"/>
          <w:szCs w:val="32"/>
          <w:highlight w:val="none"/>
          <w:lang w:eastAsia="zh-CN"/>
        </w:rPr>
        <w:t>履职情况如下：</w:t>
      </w: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eastAsia" w:ascii="Times New Roman" w:hAnsi="Times New Roman" w:eastAsia="仿宋_GB2312" w:cs="Times New Roman"/>
          <w:color w:val="000000"/>
          <w:sz w:val="32"/>
          <w:szCs w:val="32"/>
          <w:highlight w:val="none"/>
          <w:lang w:val="en-US" w:eastAsia="zh-CN"/>
        </w:rPr>
      </w:pPr>
      <w:r>
        <w:rPr>
          <w:rFonts w:hint="eastAsia" w:ascii="Times New Roman" w:hAnsi="Times New Roman" w:eastAsia="仿宋_GB2312" w:cs="Times New Roman"/>
          <w:color w:val="000000"/>
          <w:sz w:val="32"/>
          <w:szCs w:val="32"/>
          <w:highlight w:val="none"/>
          <w:lang w:val="en-US" w:eastAsia="zh-CN"/>
        </w:rPr>
        <w:t>　　1、守正创新，持续推动党史编研。修订出版《中国共产党湖南省岳阳市君山区历史》（第一卷）。编著了1949年至1978年《中国共产党湖南省岳阳市君山区历史》（第二卷）现处送审阶段，启动了《中国共产党湖南省岳阳市君山区历史》（第三卷），完成区委、区政府交办的《（2023年）君山区大事记》的编纂工作。完成了《君山记忆》第十辑的组稿工作。同时，收录了伟人三次过境君山的相关史料、图片资料、烽火岁月、研究文章、纪念设施等。</w:t>
      </w: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eastAsia" w:ascii="Times New Roman" w:hAnsi="Times New Roman" w:eastAsia="仿宋_GB2312" w:cs="Times New Roman"/>
          <w:color w:val="000000"/>
          <w:sz w:val="32"/>
          <w:szCs w:val="32"/>
          <w:highlight w:val="none"/>
          <w:lang w:val="en-US" w:eastAsia="zh-CN"/>
        </w:rPr>
      </w:pPr>
      <w:r>
        <w:rPr>
          <w:rFonts w:hint="eastAsia" w:ascii="Times New Roman" w:hAnsi="Times New Roman" w:eastAsia="仿宋_GB2312" w:cs="Times New Roman"/>
          <w:color w:val="000000"/>
          <w:sz w:val="32"/>
          <w:szCs w:val="32"/>
          <w:highlight w:val="none"/>
          <w:lang w:val="en-US" w:eastAsia="zh-CN"/>
        </w:rPr>
        <w:t>　　2、活化党史，讲好君山红色故事。撰写的《史志关系新探》获2023年“长江杯”文学艺术大赛一等奖。继续开展“毛泽东湖南足迹”，完成了“伟人三次过境君山”和“文春辉谈伟人的外戚关系”两个专题调查。成文后分别在《韩公亭》《岳阳日报》和青海省委机关杂志《生活文摘》上发表。同时，依托《君山记忆》设立“党史博彩”专栏，收录了1949年至1978年君山区经济社会发展的革命故事22篇。通过历史文献的整理，以文字形式标示的革命遗址20处，现已立石碑8处。收录和撰写周逸群碑文60幅，现已立碑12块。</w:t>
      </w: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eastAsia" w:ascii="Times New Roman" w:hAnsi="Times New Roman" w:eastAsia="仿宋_GB2312" w:cs="Times New Roman"/>
          <w:color w:val="000000"/>
          <w:sz w:val="32"/>
          <w:szCs w:val="32"/>
          <w:highlight w:val="none"/>
          <w:lang w:val="en-US" w:eastAsia="zh-CN"/>
        </w:rPr>
      </w:pPr>
      <w:r>
        <w:rPr>
          <w:rFonts w:hint="eastAsia" w:ascii="Times New Roman" w:hAnsi="Times New Roman" w:eastAsia="仿宋_GB2312" w:cs="Times New Roman"/>
          <w:color w:val="000000"/>
          <w:sz w:val="32"/>
          <w:szCs w:val="32"/>
          <w:highlight w:val="none"/>
          <w:lang w:val="en-US" w:eastAsia="zh-CN"/>
        </w:rPr>
        <w:t>　　3、精编精校，高质量推进志鉴编纂。编纂出版《君山年鉴（2023）》。指导审校了《君山区公安志》，6次到广兴洲镇研讨镇志并授课，现镇志已完成任务的70%。同时启动了《岳阳市君山区政法志》，8月份完成纲目设计，9月份已召开动员会。年内开展大型地情调研活动3次，撰写地名简介16个。为宣传文旅部门加强马拉松赛道的宣传，提供地标史料34处；协同民政部门“城市街道命名”提供命名论证史料48份。年内在开展调研的基础上，撰写了《江豚湾记》《游洞庭湖记》《闲游岳阳记》，其中2篇获国家级奖，1篇获国际级一等奖。《江豚湾记》由区工会制成朗读视频，参加全省工会系统阅读大寨，获得3.8万次点击量。《游洞庭湖记》收录国家文化工程《中国最美游记》一书，并存国史馆，北大图书馆、浙大图书馆等10多所大学图书馆。同时还翻新旧志刻板清康熙“二十四年”《岳州府志》和清吴澥《一法通》上中下三册。征集明清时期，湖南、湖北府县志电子版156部（套），以方便编修人员查阅史料。</w:t>
      </w:r>
    </w:p>
    <w:p>
      <w:pPr>
        <w:bidi w:val="0"/>
        <w:rPr>
          <w:rFonts w:hint="eastAsia"/>
          <w:lang w:val="en-US" w:eastAsia="zh-CN"/>
        </w:rPr>
      </w:pPr>
      <w:r>
        <w:rPr>
          <w:rFonts w:hint="eastAsia" w:ascii="Times New Roman" w:hAnsi="Times New Roman" w:eastAsia="仿宋_GB2312" w:cs="Times New Roman"/>
          <w:color w:val="000000"/>
          <w:szCs w:val="32"/>
          <w:highlight w:val="none"/>
          <w:lang w:val="en-US" w:eastAsia="zh-CN"/>
        </w:rPr>
        <w:t>　　4、缪力同心，夯实档案工作基础。新接收30多个全宗单位的文书档案 5000多卷，专业档案及项目档案6万多卷，上门指导18个单位规范整理档案，指出了相关问题，协助区委档案局行政执法一次。完成档案数字化扫描总任务10%。提供档案优质服务，全年接待社会各界档案利用者80批、2</w:t>
      </w:r>
      <w:r>
        <w:rPr>
          <w:rFonts w:hint="eastAsia"/>
          <w:lang w:val="en-US" w:eastAsia="zh-CN"/>
        </w:rPr>
        <w:t>60人次。</w:t>
      </w:r>
    </w:p>
    <w:p>
      <w:pPr>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jc w:val="both"/>
        <w:textAlignment w:val="auto"/>
        <w:rPr>
          <w:rFonts w:hint="default" w:ascii="Times New Roman" w:hAnsi="Times New Roman" w:eastAsia="黑体" w:cs="Times New Roman"/>
          <w:sz w:val="32"/>
          <w:szCs w:val="32"/>
          <w:highlight w:val="none"/>
          <w:lang w:eastAsia="zh-CN"/>
        </w:rPr>
      </w:pPr>
      <w:r>
        <w:rPr>
          <w:rFonts w:hint="eastAsia" w:ascii="Times New Roman" w:hAnsi="Times New Roman" w:eastAsia="黑体" w:cs="Times New Roman"/>
          <w:sz w:val="32"/>
          <w:szCs w:val="32"/>
          <w:highlight w:val="none"/>
          <w:lang w:eastAsia="zh-CN"/>
        </w:rPr>
        <w:t>六、</w:t>
      </w:r>
      <w:r>
        <w:rPr>
          <w:rFonts w:hint="default" w:ascii="Times New Roman" w:hAnsi="Times New Roman" w:eastAsia="黑体" w:cs="Times New Roman"/>
          <w:sz w:val="32"/>
          <w:szCs w:val="32"/>
          <w:highlight w:val="none"/>
          <w:lang w:eastAsia="zh-CN"/>
        </w:rPr>
        <w:t>存在的问题及原因分析</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color w:val="000000"/>
          <w:sz w:val="32"/>
          <w:szCs w:val="32"/>
          <w:highlight w:val="none"/>
          <w:lang w:val="en-US" w:eastAsia="zh-CN"/>
        </w:rPr>
      </w:pPr>
      <w:r>
        <w:rPr>
          <w:rFonts w:hint="eastAsia" w:ascii="Times New Roman" w:hAnsi="Times New Roman" w:eastAsia="仿宋_GB2312" w:cs="Times New Roman"/>
          <w:color w:val="000000"/>
          <w:sz w:val="32"/>
          <w:szCs w:val="32"/>
          <w:highlight w:val="none"/>
          <w:lang w:val="en-US" w:eastAsia="zh-CN"/>
        </w:rPr>
        <w:t>1、</w:t>
      </w:r>
      <w:r>
        <w:rPr>
          <w:rFonts w:hint="default" w:ascii="Times New Roman" w:hAnsi="Times New Roman" w:eastAsia="仿宋_GB2312" w:cs="Times New Roman"/>
          <w:color w:val="000000"/>
          <w:sz w:val="32"/>
          <w:szCs w:val="32"/>
          <w:highlight w:val="none"/>
          <w:lang w:val="en-US" w:eastAsia="zh-CN"/>
        </w:rPr>
        <w:t>绩效评价并不能完全兼顾工作的方方面面，在各项指标的分析上也未能做到透彻，对各项资金使用的规范性和使用结果的有效性分析并不透彻，</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color w:val="000000"/>
          <w:sz w:val="32"/>
          <w:szCs w:val="32"/>
          <w:highlight w:val="none"/>
          <w:lang w:val="en-US" w:eastAsia="zh-CN"/>
        </w:rPr>
      </w:pPr>
      <w:r>
        <w:rPr>
          <w:rFonts w:hint="eastAsia" w:ascii="Times New Roman" w:hAnsi="Times New Roman" w:eastAsia="仿宋_GB2312" w:cs="Times New Roman"/>
          <w:color w:val="000000"/>
          <w:sz w:val="32"/>
          <w:szCs w:val="32"/>
          <w:highlight w:val="none"/>
          <w:lang w:val="en-US" w:eastAsia="zh-CN"/>
        </w:rPr>
        <w:t>2、</w:t>
      </w:r>
      <w:r>
        <w:rPr>
          <w:rFonts w:hint="default" w:ascii="Times New Roman" w:hAnsi="Times New Roman" w:eastAsia="仿宋_GB2312" w:cs="Times New Roman"/>
          <w:color w:val="000000"/>
          <w:sz w:val="32"/>
          <w:szCs w:val="32"/>
          <w:highlight w:val="none"/>
          <w:lang w:val="en-US" w:eastAsia="zh-CN"/>
        </w:rPr>
        <w:t>对预算绩效管理知识的学习存在局限性，预算绩效管理的合理性、科学性还需加强。</w:t>
      </w:r>
    </w:p>
    <w:p>
      <w:pPr>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七、</w:t>
      </w:r>
      <w:r>
        <w:rPr>
          <w:rFonts w:hint="default" w:ascii="Times New Roman" w:hAnsi="Times New Roman" w:eastAsia="黑体" w:cs="Times New Roman"/>
          <w:sz w:val="32"/>
          <w:szCs w:val="32"/>
          <w:highlight w:val="none"/>
        </w:rPr>
        <w:t>下一步改进措施</w:t>
      </w:r>
    </w:p>
    <w:p>
      <w:pPr>
        <w:pStyle w:val="7"/>
        <w:ind w:firstLine="640"/>
        <w:rPr>
          <w:rFonts w:hint="default"/>
        </w:rPr>
      </w:pPr>
      <w:r>
        <w:rPr>
          <w:rFonts w:hint="eastAsia"/>
          <w:lang w:val="en-US" w:eastAsia="zh-CN"/>
        </w:rPr>
        <w:t>1、</w:t>
      </w:r>
      <w:r>
        <w:rPr>
          <w:rFonts w:hint="default"/>
        </w:rPr>
        <w:t>细化预算编制工作，认真做好预算的编制。进一步加强单位内部的预算管理意识，严格按照预算编制的相关制度和要求进行预算编制；提高人员的业务素质与参与度。</w:t>
      </w:r>
    </w:p>
    <w:p>
      <w:pPr>
        <w:pStyle w:val="7"/>
        <w:ind w:firstLine="640"/>
        <w:rPr>
          <w:rFonts w:hint="eastAsia" w:ascii="Times New Roman" w:hAnsi="Times New Roman" w:eastAsia="仿宋_GB2312" w:cs="Times New Roman"/>
          <w:kern w:val="0"/>
          <w:sz w:val="32"/>
          <w:szCs w:val="32"/>
          <w:highlight w:val="none"/>
          <w:lang w:val="en-US" w:eastAsia="zh-CN" w:bidi="ar-SA"/>
        </w:rPr>
      </w:pPr>
      <w:r>
        <w:rPr>
          <w:rFonts w:hint="eastAsia"/>
          <w:lang w:val="en-US" w:eastAsia="zh-CN"/>
        </w:rPr>
        <w:t>2、</w:t>
      </w:r>
      <w:r>
        <w:rPr>
          <w:rFonts w:hint="default"/>
        </w:rPr>
        <w:t>完善内部控制体系建设。针对检查和评价过程中发现的问题和相关财经法律法规的变化，对相关制度、措施和程序进行调整、改进内部控制管理办法。对相关人员加强培训，规范部门预算收支核算，切实提高部门预算收支管理水平。</w:t>
      </w:r>
    </w:p>
    <w:p>
      <w:pPr>
        <w:keepNext w:val="0"/>
        <w:keepLines w:val="0"/>
        <w:pageBreakBefore w:val="0"/>
        <w:widowControl/>
        <w:numPr>
          <w:ilvl w:val="0"/>
          <w:numId w:val="6"/>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部门整体支出绩效自评结果拟应用和公开情况</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right="0" w:firstLine="640" w:firstLineChars="200"/>
        <w:jc w:val="both"/>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对照绩效自评结果，总结经验，发现问题，提出改进的方向和具体措施，促进工作的开展。逐步建立绩效评价与部门预算相结合的结果应用机制，实行绩效评价结果在部门预算编制和执行中的应用，促进财政资金的合理分配与有效使用。</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default"/>
        </w:rPr>
      </w:pPr>
      <w:r>
        <w:rPr>
          <w:rFonts w:hint="eastAsia" w:ascii="Times New Roman" w:hAnsi="Times New Roman" w:eastAsia="仿宋_GB2312" w:cs="Times New Roman"/>
          <w:sz w:val="32"/>
          <w:szCs w:val="32"/>
          <w:lang w:val="en-US" w:eastAsia="zh-CN"/>
        </w:rPr>
        <w:t>对部门整体支出绩效自评在规定时间内公开至本单位门户网站，确保公开数据真实、完整、准确。</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十、</w:t>
      </w:r>
      <w:r>
        <w:rPr>
          <w:rFonts w:hint="default" w:ascii="Times New Roman" w:hAnsi="Times New Roman" w:eastAsia="黑体" w:cs="Times New Roman"/>
          <w:sz w:val="32"/>
          <w:szCs w:val="32"/>
          <w:highlight w:val="none"/>
        </w:rPr>
        <w:t>其他需要说明的情况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kern w:val="0"/>
          <w:sz w:val="32"/>
          <w:szCs w:val="32"/>
          <w:lang w:val="en-US" w:eastAsia="zh-CN" w:bidi="ar-SA"/>
        </w:rPr>
        <w:t>无。</w:t>
      </w:r>
      <w:r>
        <w:rPr>
          <w:rFonts w:hint="eastAsia" w:ascii="Times New Roman" w:hAnsi="Times New Roman" w:eastAsia="仿宋_GB2312" w:cs="Times New Roman"/>
          <w:kern w:val="0"/>
          <w:sz w:val="32"/>
          <w:szCs w:val="32"/>
          <w:lang w:val="en-US" w:eastAsia="zh-CN" w:bidi="ar-SA"/>
        </w:rPr>
        <w:br w:type="page"/>
      </w:r>
    </w:p>
    <w:p>
      <w:pPr>
        <w:spacing w:after="120" w:afterLines="50" w:line="600" w:lineRule="exact"/>
        <w:jc w:val="both"/>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附件</w:t>
      </w:r>
      <w:r>
        <w:rPr>
          <w:rFonts w:hint="eastAsia" w:ascii="黑体" w:hAnsi="黑体" w:eastAsia="黑体" w:cs="黑体"/>
          <w:sz w:val="32"/>
          <w:szCs w:val="32"/>
          <w:highlight w:val="none"/>
          <w:lang w:val="en-US" w:eastAsia="zh-CN"/>
        </w:rPr>
        <w:t>1</w:t>
      </w:r>
    </w:p>
    <w:p>
      <w:pPr>
        <w:spacing w:after="120" w:afterLines="50" w:line="600" w:lineRule="exact"/>
        <w:jc w:val="center"/>
        <w:rPr>
          <w:rFonts w:hint="eastAsia" w:ascii="方正小标宋简体" w:hAnsi="方正小标宋简体" w:eastAsia="方正小标宋简体" w:cs="方正小标宋简体"/>
          <w:sz w:val="24"/>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年度部门整体支出绩效评价基础数据表</w:t>
      </w:r>
    </w:p>
    <w:tbl>
      <w:tblPr>
        <w:tblStyle w:val="5"/>
        <w:tblW w:w="9673" w:type="dxa"/>
        <w:jc w:val="center"/>
        <w:tblLayout w:type="fixed"/>
        <w:tblCellMar>
          <w:top w:w="0" w:type="dxa"/>
          <w:left w:w="108" w:type="dxa"/>
          <w:bottom w:w="0" w:type="dxa"/>
          <w:right w:w="108" w:type="dxa"/>
        </w:tblCellMar>
      </w:tblPr>
      <w:tblGrid>
        <w:gridCol w:w="3354"/>
        <w:gridCol w:w="1189"/>
        <w:gridCol w:w="849"/>
        <w:gridCol w:w="1129"/>
        <w:gridCol w:w="1111"/>
        <w:gridCol w:w="1081"/>
        <w:gridCol w:w="960"/>
      </w:tblGrid>
      <w:tr>
        <w:tblPrEx>
          <w:tblCellMar>
            <w:top w:w="0" w:type="dxa"/>
            <w:left w:w="108" w:type="dxa"/>
            <w:bottom w:w="0" w:type="dxa"/>
            <w:right w:w="108" w:type="dxa"/>
          </w:tblCellMar>
        </w:tblPrEx>
        <w:trPr>
          <w:trHeight w:val="0"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财政供养人员情况（人）</w:t>
            </w: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编制数</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年实际在职人数</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控制率</w:t>
            </w:r>
          </w:p>
        </w:tc>
      </w:tr>
      <w:tr>
        <w:tblPrEx>
          <w:tblCellMar>
            <w:top w:w="0" w:type="dxa"/>
            <w:left w:w="108" w:type="dxa"/>
            <w:bottom w:w="0" w:type="dxa"/>
            <w:right w:w="108" w:type="dxa"/>
          </w:tblCellMar>
        </w:tblPrEx>
        <w:trPr>
          <w:trHeight w:val="0"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8</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8</w:t>
            </w:r>
            <w:bookmarkStart w:id="0" w:name="_GoBack"/>
            <w:bookmarkEnd w:id="0"/>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经费控制情况（万元）</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2</w:t>
            </w:r>
            <w:r>
              <w:rPr>
                <w:rFonts w:hint="eastAsia" w:ascii="仿宋_GB2312" w:hAnsi="仿宋_GB2312" w:eastAsia="仿宋_GB2312" w:cs="仿宋_GB2312"/>
                <w:b/>
                <w:bCs/>
                <w:sz w:val="20"/>
                <w:szCs w:val="20"/>
                <w:highlight w:val="none"/>
              </w:rPr>
              <w:t>年决算数</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年预算数</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年决算数</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三公经费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0.37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0.72</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0.54</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1、公务用车购置和维护经费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其中：公车购置</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公车运行维护</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2、出国经费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9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3、公务接待</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0.37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0.72</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0.54</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项目支出：</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161</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1</w:t>
            </w:r>
            <w:r>
              <w:rPr>
                <w:rFonts w:hint="eastAsia" w:ascii="仿宋_GB2312" w:hAnsi="仿宋_GB2312" w:eastAsia="仿宋_GB2312" w:cs="仿宋_GB2312"/>
                <w:sz w:val="20"/>
                <w:szCs w:val="20"/>
                <w:highlight w:val="none"/>
                <w:lang w:val="en-US" w:eastAsia="zh-CN"/>
              </w:rPr>
              <w:t>9</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161</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1</w:t>
            </w:r>
            <w:r>
              <w:rPr>
                <w:rFonts w:hint="eastAsia" w:ascii="仿宋_GB2312" w:hAnsi="仿宋_GB2312" w:eastAsia="仿宋_GB2312" w:cs="仿宋_GB2312"/>
                <w:sz w:val="20"/>
                <w:szCs w:val="20"/>
                <w:highlight w:val="none"/>
                <w:lang w:val="en-US" w:eastAsia="zh-CN"/>
              </w:rPr>
              <w:t>9</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1、业务工作经费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122.69</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122.69</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w:t>
            </w:r>
            <w:r>
              <w:rPr>
                <w:rFonts w:hint="eastAsia" w:ascii="仿宋_GB2312" w:hAnsi="仿宋_GB2312" w:eastAsia="仿宋_GB2312" w:cs="仿宋_GB2312"/>
                <w:color w:val="000000"/>
                <w:sz w:val="20"/>
                <w:szCs w:val="20"/>
                <w:highlight w:val="none"/>
              </w:rPr>
              <w:t>党史研究室专项　</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38.5</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color w:val="000000"/>
                <w:sz w:val="20"/>
                <w:szCs w:val="20"/>
                <w:highlight w:val="none"/>
              </w:rPr>
              <w:t>38.5</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w:t>
            </w:r>
            <w:r>
              <w:rPr>
                <w:rFonts w:hint="eastAsia" w:ascii="仿宋_GB2312" w:hAnsi="仿宋_GB2312" w:eastAsia="仿宋_GB2312" w:cs="仿宋_GB2312"/>
                <w:sz w:val="20"/>
                <w:szCs w:val="20"/>
                <w:highlight w:val="none"/>
                <w:lang w:eastAsia="zh-CN"/>
              </w:rPr>
              <w:t>市级</w:t>
            </w:r>
            <w:r>
              <w:rPr>
                <w:rFonts w:hint="eastAsia" w:ascii="仿宋_GB2312" w:hAnsi="仿宋_GB2312" w:eastAsia="仿宋_GB2312" w:cs="仿宋_GB2312"/>
                <w:sz w:val="20"/>
                <w:szCs w:val="20"/>
                <w:highlight w:val="none"/>
              </w:rPr>
              <w:t>专项资金（一个专项一行）</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公用经费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111.27</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11</w:t>
            </w:r>
            <w:r>
              <w:rPr>
                <w:rFonts w:hint="eastAsia" w:ascii="仿宋_GB2312" w:hAnsi="仿宋_GB2312" w:eastAsia="仿宋_GB2312" w:cs="仿宋_GB2312"/>
                <w:sz w:val="20"/>
                <w:szCs w:val="20"/>
                <w:highlight w:val="none"/>
                <w:lang w:val="en-US" w:eastAsia="zh-CN"/>
              </w:rPr>
              <w:t>.10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11</w:t>
            </w:r>
            <w:r>
              <w:rPr>
                <w:rFonts w:hint="eastAsia" w:ascii="仿宋_GB2312" w:hAnsi="仿宋_GB2312" w:eastAsia="仿宋_GB2312" w:cs="仿宋_GB2312"/>
                <w:sz w:val="20"/>
                <w:szCs w:val="20"/>
                <w:highlight w:val="none"/>
                <w:lang w:val="en-US" w:eastAsia="zh-CN"/>
              </w:rPr>
              <w:t>.10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其中：办公经费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17.26</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4</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4</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水费、电费、差旅费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4.16</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1.5</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1.5</w:t>
            </w:r>
          </w:p>
        </w:tc>
      </w:tr>
      <w:tr>
        <w:tblPrEx>
          <w:tblCellMar>
            <w:top w:w="0" w:type="dxa"/>
            <w:left w:w="108" w:type="dxa"/>
            <w:bottom w:w="0" w:type="dxa"/>
            <w:right w:w="108" w:type="dxa"/>
          </w:tblCellMar>
        </w:tblPrEx>
        <w:trPr>
          <w:trHeight w:val="9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会议费、培训费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0.41</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0.41</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政府采购金额</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55</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33</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55</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33　</w:t>
            </w:r>
          </w:p>
        </w:tc>
      </w:tr>
      <w:tr>
        <w:tblPrEx>
          <w:tblCellMar>
            <w:top w:w="0" w:type="dxa"/>
            <w:left w:w="108" w:type="dxa"/>
            <w:bottom w:w="0" w:type="dxa"/>
            <w:right w:w="108" w:type="dxa"/>
          </w:tblCellMar>
        </w:tblPrEx>
        <w:trPr>
          <w:trHeight w:val="9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部门基本支出预算调整 </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123</w:t>
            </w:r>
            <w:r>
              <w:rPr>
                <w:rFonts w:hint="eastAsia" w:ascii="仿宋_GB2312" w:hAnsi="仿宋_GB2312" w:eastAsia="仿宋_GB2312" w:cs="仿宋_GB2312"/>
                <w:color w:val="000000"/>
                <w:sz w:val="20"/>
                <w:szCs w:val="20"/>
                <w:highlight w:val="none"/>
                <w:lang w:val="en-US" w:eastAsia="zh-CN"/>
              </w:rPr>
              <w:t>.</w:t>
            </w:r>
            <w:r>
              <w:rPr>
                <w:rFonts w:hint="eastAsia" w:ascii="仿宋_GB2312" w:hAnsi="仿宋_GB2312" w:eastAsia="仿宋_GB2312" w:cs="仿宋_GB2312"/>
                <w:color w:val="000000"/>
                <w:sz w:val="20"/>
                <w:szCs w:val="20"/>
                <w:highlight w:val="none"/>
              </w:rPr>
              <w:t>57</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123</w:t>
            </w:r>
            <w:r>
              <w:rPr>
                <w:rFonts w:hint="eastAsia" w:ascii="仿宋_GB2312" w:hAnsi="仿宋_GB2312" w:eastAsia="仿宋_GB2312" w:cs="仿宋_GB2312"/>
                <w:color w:val="000000"/>
                <w:sz w:val="20"/>
                <w:szCs w:val="20"/>
                <w:highlight w:val="none"/>
                <w:lang w:val="en-US" w:eastAsia="zh-CN"/>
              </w:rPr>
              <w:t>.</w:t>
            </w:r>
            <w:r>
              <w:rPr>
                <w:rFonts w:hint="eastAsia" w:ascii="仿宋_GB2312" w:hAnsi="仿宋_GB2312" w:eastAsia="仿宋_GB2312" w:cs="仿宋_GB2312"/>
                <w:color w:val="000000"/>
                <w:sz w:val="20"/>
                <w:szCs w:val="20"/>
                <w:highlight w:val="none"/>
              </w:rPr>
              <w:t>57</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vMerge w:val="restart"/>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楼堂馆所控制情况</w:t>
            </w:r>
            <w:r>
              <w:rPr>
                <w:rFonts w:hint="eastAsia" w:ascii="仿宋_GB2312" w:hAnsi="仿宋_GB2312" w:eastAsia="仿宋_GB2312" w:cs="仿宋_GB2312"/>
                <w:sz w:val="20"/>
                <w:szCs w:val="20"/>
                <w:highlight w:val="none"/>
              </w:rPr>
              <w:br w:type="textWrapping"/>
            </w:r>
            <w:r>
              <w:rPr>
                <w:rFonts w:hint="eastAsia" w:ascii="仿宋_GB2312" w:hAnsi="仿宋_GB2312" w:eastAsia="仿宋_GB2312" w:cs="仿宋_GB2312"/>
                <w:sz w:val="20"/>
                <w:szCs w:val="20"/>
                <w:highlight w:val="none"/>
              </w:rPr>
              <w:t>（202</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sz w:val="20"/>
                <w:szCs w:val="20"/>
                <w:highlight w:val="none"/>
              </w:rPr>
              <w:t>年完工项目）</w:t>
            </w: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批复规模</w:t>
            </w:r>
            <w:r>
              <w:rPr>
                <w:rFonts w:hint="eastAsia" w:ascii="仿宋_GB2312" w:hAnsi="仿宋_GB2312" w:eastAsia="仿宋_GB2312" w:cs="仿宋_GB2312"/>
                <w:bCs/>
                <w:sz w:val="20"/>
                <w:szCs w:val="20"/>
                <w:highlight w:val="none"/>
              </w:rPr>
              <w:br w:type="textWrapping"/>
            </w:r>
            <w:r>
              <w:rPr>
                <w:rFonts w:hint="eastAsia" w:ascii="仿宋_GB2312" w:hAnsi="仿宋_GB2312" w:eastAsia="仿宋_GB2312" w:cs="仿宋_GB2312"/>
                <w:bCs/>
                <w:sz w:val="20"/>
                <w:szCs w:val="20"/>
                <w:highlight w:val="none"/>
              </w:rPr>
              <w:t>（㎡）</w:t>
            </w:r>
          </w:p>
        </w:tc>
        <w:tc>
          <w:tcPr>
            <w:tcW w:w="84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实际规模（㎡）</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规模控制率</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预算投资（万元）</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实际投资（万元）</w:t>
            </w:r>
          </w:p>
        </w:tc>
        <w:tc>
          <w:tcPr>
            <w:tcW w:w="960"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投资概算控制率</w:t>
            </w:r>
          </w:p>
        </w:tc>
      </w:tr>
      <w:tr>
        <w:tblPrEx>
          <w:tblCellMar>
            <w:top w:w="0" w:type="dxa"/>
            <w:left w:w="108" w:type="dxa"/>
            <w:bottom w:w="0" w:type="dxa"/>
            <w:right w:w="108" w:type="dxa"/>
          </w:tblCellMar>
        </w:tblPrEx>
        <w:trPr>
          <w:trHeight w:val="0" w:hRule="atLeast"/>
          <w:jc w:val="center"/>
        </w:trPr>
        <w:tc>
          <w:tcPr>
            <w:tcW w:w="3354" w:type="dxa"/>
            <w:vMerge w:val="continue"/>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84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960"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厉行节约保障措施</w:t>
            </w:r>
          </w:p>
        </w:tc>
        <w:tc>
          <w:tcPr>
            <w:tcW w:w="6319" w:type="dxa"/>
            <w:gridSpan w:val="6"/>
            <w:tcBorders>
              <w:top w:val="single" w:color="auto" w:sz="4" w:space="0"/>
              <w:left w:val="nil"/>
              <w:bottom w:val="single" w:color="auto" w:sz="4" w:space="0"/>
              <w:right w:val="single" w:color="000000"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lang w:val="en-US" w:eastAsia="zh-CN"/>
              </w:rPr>
              <w:t>深入贯彻落实中央八项规定及其实施细则特神，严格控制“三公”经费开支，严禁超范围、超标准开支，践行精细化管理理念，加强绩效化管理，推进绩效评价结果与预算挂钩，严防资金低效使用，确保财力有效转化为保障力。</w:t>
            </w:r>
            <w:r>
              <w:rPr>
                <w:rFonts w:hint="eastAsia" w:ascii="仿宋_GB2312" w:hAnsi="仿宋_GB2312" w:eastAsia="仿宋_GB2312" w:cs="仿宋_GB2312"/>
                <w:sz w:val="20"/>
                <w:szCs w:val="20"/>
                <w:highlight w:val="none"/>
              </w:rPr>
              <w:t>　　</w:t>
            </w:r>
          </w:p>
        </w:tc>
      </w:tr>
    </w:tbl>
    <w:p>
      <w:pPr>
        <w:widowControl/>
        <w:spacing w:afterLines="0" w:line="400" w:lineRule="exact"/>
        <w:jc w:val="left"/>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说明：“项目支出”需要填报基本支出以外的所有项目支出情况，“公用经费”填报基本支出中的一般商品和服务支出。</w:t>
      </w:r>
    </w:p>
    <w:p>
      <w:pPr>
        <w:widowControl/>
        <w:spacing w:afterLines="0" w:line="400" w:lineRule="exact"/>
        <w:jc w:val="left"/>
        <w:rPr>
          <w:rFonts w:hint="default" w:ascii="Times New Roman" w:hAnsi="Times New Roman" w:eastAsia="仿宋_GB2312" w:cs="Times New Roman"/>
          <w:sz w:val="22"/>
          <w:highlight w:val="none"/>
        </w:rPr>
      </w:pPr>
    </w:p>
    <w:p>
      <w:pPr>
        <w:widowControl/>
        <w:spacing w:after="0" w:afterLines="0" w:line="400" w:lineRule="exact"/>
        <w:jc w:val="left"/>
        <w:rPr>
          <w:rFonts w:hint="eastAsia" w:ascii="黑体" w:hAnsi="黑体" w:eastAsia="黑体" w:cs="黑体"/>
          <w:sz w:val="32"/>
          <w:szCs w:val="32"/>
          <w:highlight w:val="none"/>
          <w:lang w:eastAsia="zh-CN"/>
        </w:rPr>
      </w:pPr>
      <w:r>
        <w:rPr>
          <w:rFonts w:hint="default" w:ascii="Times New Roman" w:hAnsi="Times New Roman" w:eastAsia="仿宋_GB2312" w:cs="Times New Roman"/>
          <w:sz w:val="22"/>
          <w:highlight w:val="none"/>
        </w:rPr>
        <w:t>填表人：        填报日期：          联系电话：            单位负责人签字：</w:t>
      </w:r>
      <w:r>
        <w:rPr>
          <w:rFonts w:hint="default" w:ascii="Times New Roman" w:hAnsi="Times New Roman" w:eastAsia="仿宋_GB2312" w:cs="Times New Roman"/>
          <w:sz w:val="22"/>
          <w:highlight w:val="none"/>
        </w:rPr>
        <w:br w:type="page"/>
      </w:r>
    </w:p>
    <w:p>
      <w:pPr>
        <w:widowControl/>
        <w:spacing w:after="120" w:afterLines="50"/>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年度部门整体支出绩效自评表</w:t>
      </w:r>
    </w:p>
    <w:tbl>
      <w:tblPr>
        <w:tblStyle w:val="5"/>
        <w:tblW w:w="10079" w:type="dxa"/>
        <w:jc w:val="center"/>
        <w:tblLayout w:type="fixed"/>
        <w:tblCellMar>
          <w:top w:w="0" w:type="dxa"/>
          <w:left w:w="108" w:type="dxa"/>
          <w:bottom w:w="0" w:type="dxa"/>
          <w:right w:w="108" w:type="dxa"/>
        </w:tblCellMar>
      </w:tblPr>
      <w:tblGrid>
        <w:gridCol w:w="1080"/>
        <w:gridCol w:w="1080"/>
        <w:gridCol w:w="1141"/>
        <w:gridCol w:w="1432"/>
        <w:gridCol w:w="1395"/>
        <w:gridCol w:w="1320"/>
        <w:gridCol w:w="705"/>
        <w:gridCol w:w="720"/>
        <w:gridCol w:w="1206"/>
      </w:tblGrid>
      <w:tr>
        <w:tblPrEx>
          <w:tblCellMar>
            <w:top w:w="0" w:type="dxa"/>
            <w:left w:w="108" w:type="dxa"/>
            <w:bottom w:w="0" w:type="dxa"/>
            <w:right w:w="108" w:type="dxa"/>
          </w:tblCellMar>
        </w:tblPrEx>
        <w:trPr>
          <w:trHeight w:val="464" w:hRule="atLeast"/>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市</w:t>
            </w:r>
            <w:r>
              <w:rPr>
                <w:rFonts w:hint="eastAsia" w:ascii="仿宋_GB2312" w:hAnsi="仿宋_GB2312" w:eastAsia="仿宋_GB2312" w:cs="仿宋_GB2312"/>
                <w:color w:val="000000"/>
                <w:sz w:val="20"/>
                <w:szCs w:val="20"/>
                <w:highlight w:val="none"/>
              </w:rPr>
              <w:t>级预算部门名称</w:t>
            </w:r>
          </w:p>
        </w:tc>
        <w:tc>
          <w:tcPr>
            <w:tcW w:w="8999" w:type="dxa"/>
            <w:gridSpan w:val="8"/>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val="en-US" w:eastAsia="zh-CN"/>
              </w:rPr>
              <w:t>中共岳阳市君山区委党史研究室</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年度预</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算申请</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221"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p>
        </w:tc>
        <w:tc>
          <w:tcPr>
            <w:tcW w:w="1432"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年初预算数</w:t>
            </w:r>
          </w:p>
        </w:tc>
        <w:tc>
          <w:tcPr>
            <w:tcW w:w="1395"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全年预算数</w:t>
            </w:r>
          </w:p>
        </w:tc>
        <w:tc>
          <w:tcPr>
            <w:tcW w:w="1320"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全年执行数</w:t>
            </w:r>
          </w:p>
        </w:tc>
        <w:tc>
          <w:tcPr>
            <w:tcW w:w="705"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720"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20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2221"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年度资金总额</w:t>
            </w:r>
          </w:p>
        </w:tc>
        <w:tc>
          <w:tcPr>
            <w:tcW w:w="1432"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178.08</w:t>
            </w:r>
          </w:p>
        </w:tc>
        <w:tc>
          <w:tcPr>
            <w:tcW w:w="1395"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lang w:eastAsia="zh-CN"/>
              </w:rPr>
              <w:t>284</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lang w:eastAsia="zh-CN"/>
              </w:rPr>
              <w:t>7</w:t>
            </w:r>
            <w:r>
              <w:rPr>
                <w:rFonts w:hint="eastAsia" w:ascii="仿宋_GB2312" w:hAnsi="仿宋_GB2312" w:eastAsia="仿宋_GB2312" w:cs="仿宋_GB2312"/>
                <w:sz w:val="20"/>
                <w:szCs w:val="20"/>
                <w:highlight w:val="none"/>
                <w:lang w:val="en-US" w:eastAsia="zh-CN"/>
              </w:rPr>
              <w:t>6</w:t>
            </w:r>
          </w:p>
        </w:tc>
        <w:tc>
          <w:tcPr>
            <w:tcW w:w="1320"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eastAsia="zh-CN"/>
              </w:rPr>
              <w:t>284</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lang w:eastAsia="zh-CN"/>
              </w:rPr>
              <w:t>7</w:t>
            </w:r>
            <w:r>
              <w:rPr>
                <w:rFonts w:hint="eastAsia" w:ascii="仿宋_GB2312" w:hAnsi="仿宋_GB2312" w:eastAsia="仿宋_GB2312" w:cs="仿宋_GB2312"/>
                <w:sz w:val="20"/>
                <w:szCs w:val="20"/>
                <w:highlight w:val="none"/>
                <w:lang w:val="en-US" w:eastAsia="zh-CN"/>
              </w:rPr>
              <w:t>6</w:t>
            </w:r>
          </w:p>
        </w:tc>
        <w:tc>
          <w:tcPr>
            <w:tcW w:w="705"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w:t>
            </w:r>
          </w:p>
        </w:tc>
        <w:tc>
          <w:tcPr>
            <w:tcW w:w="720"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w:t>
            </w:r>
          </w:p>
        </w:tc>
        <w:tc>
          <w:tcPr>
            <w:tcW w:w="1206"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048"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按收入性质分：</w:t>
            </w:r>
          </w:p>
        </w:tc>
        <w:tc>
          <w:tcPr>
            <w:tcW w:w="3951"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按支出性质分：</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048"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 xml:space="preserve">  其中：  一般公共预算：</w:t>
            </w:r>
            <w:r>
              <w:rPr>
                <w:rFonts w:hint="eastAsia" w:ascii="仿宋_GB2312" w:hAnsi="仿宋_GB2312" w:eastAsia="仿宋_GB2312" w:cs="仿宋_GB2312"/>
                <w:sz w:val="20"/>
                <w:szCs w:val="20"/>
                <w:highlight w:val="none"/>
                <w:lang w:eastAsia="zh-CN"/>
              </w:rPr>
              <w:t>284</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lang w:eastAsia="zh-CN"/>
              </w:rPr>
              <w:t>7</w:t>
            </w:r>
            <w:r>
              <w:rPr>
                <w:rFonts w:hint="eastAsia" w:ascii="仿宋_GB2312" w:hAnsi="仿宋_GB2312" w:eastAsia="仿宋_GB2312" w:cs="仿宋_GB2312"/>
                <w:sz w:val="20"/>
                <w:szCs w:val="20"/>
                <w:highlight w:val="none"/>
                <w:lang w:val="en-US" w:eastAsia="zh-CN"/>
              </w:rPr>
              <w:t>6</w:t>
            </w:r>
          </w:p>
        </w:tc>
        <w:tc>
          <w:tcPr>
            <w:tcW w:w="3951"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其中：基本支出：123</w:t>
            </w:r>
            <w:r>
              <w:rPr>
                <w:rFonts w:hint="eastAsia" w:ascii="仿宋_GB2312" w:hAnsi="仿宋_GB2312" w:eastAsia="仿宋_GB2312" w:cs="仿宋_GB2312"/>
                <w:color w:val="000000"/>
                <w:sz w:val="20"/>
                <w:szCs w:val="20"/>
                <w:highlight w:val="none"/>
                <w:lang w:val="en-US" w:eastAsia="zh-CN"/>
              </w:rPr>
              <w:t>.</w:t>
            </w:r>
            <w:r>
              <w:rPr>
                <w:rFonts w:hint="eastAsia" w:ascii="仿宋_GB2312" w:hAnsi="仿宋_GB2312" w:eastAsia="仿宋_GB2312" w:cs="仿宋_GB2312"/>
                <w:color w:val="000000"/>
                <w:sz w:val="20"/>
                <w:szCs w:val="20"/>
                <w:highlight w:val="none"/>
              </w:rPr>
              <w:t>57</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048" w:type="dxa"/>
            <w:gridSpan w:val="4"/>
            <w:tcBorders>
              <w:top w:val="nil"/>
              <w:left w:val="nil"/>
              <w:bottom w:val="single" w:color="auto" w:sz="4" w:space="0"/>
              <w:right w:val="single" w:color="auto" w:sz="4" w:space="0"/>
            </w:tcBorders>
            <w:noWrap w:val="0"/>
            <w:vAlign w:val="center"/>
          </w:tcPr>
          <w:p>
            <w:pPr>
              <w:widowControl/>
              <w:spacing w:line="240" w:lineRule="exact"/>
              <w:ind w:firstLine="800" w:firstLineChars="4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政府性基金拨款：</w:t>
            </w:r>
          </w:p>
        </w:tc>
        <w:tc>
          <w:tcPr>
            <w:tcW w:w="3951" w:type="dxa"/>
            <w:gridSpan w:val="4"/>
            <w:tcBorders>
              <w:top w:val="nil"/>
              <w:left w:val="nil"/>
              <w:bottom w:val="single" w:color="auto" w:sz="4" w:space="0"/>
              <w:right w:val="single" w:color="auto" w:sz="4" w:space="0"/>
            </w:tcBorders>
            <w:noWrap w:val="0"/>
            <w:vAlign w:val="center"/>
          </w:tcPr>
          <w:p>
            <w:pPr>
              <w:widowControl/>
              <w:spacing w:line="240" w:lineRule="exact"/>
              <w:ind w:firstLine="600" w:firstLineChars="300"/>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项目支出：161</w:t>
            </w:r>
            <w:r>
              <w:rPr>
                <w:rFonts w:hint="eastAsia" w:ascii="仿宋_GB2312" w:hAnsi="仿宋_GB2312" w:eastAsia="仿宋_GB2312" w:cs="仿宋_GB2312"/>
                <w:color w:val="000000"/>
                <w:sz w:val="20"/>
                <w:szCs w:val="20"/>
                <w:highlight w:val="none"/>
                <w:lang w:val="en-US" w:eastAsia="zh-CN"/>
              </w:rPr>
              <w:t>.</w:t>
            </w:r>
            <w:r>
              <w:rPr>
                <w:rFonts w:hint="eastAsia" w:ascii="仿宋_GB2312" w:hAnsi="仿宋_GB2312" w:eastAsia="仿宋_GB2312" w:cs="仿宋_GB2312"/>
                <w:color w:val="000000"/>
                <w:sz w:val="20"/>
                <w:szCs w:val="20"/>
                <w:highlight w:val="none"/>
              </w:rPr>
              <w:t>1</w:t>
            </w:r>
            <w:r>
              <w:rPr>
                <w:rFonts w:hint="eastAsia" w:ascii="仿宋_GB2312" w:hAnsi="仿宋_GB2312" w:eastAsia="仿宋_GB2312" w:cs="仿宋_GB2312"/>
                <w:color w:val="000000"/>
                <w:sz w:val="20"/>
                <w:szCs w:val="20"/>
                <w:highlight w:val="none"/>
                <w:lang w:val="en-US" w:eastAsia="zh-CN"/>
              </w:rPr>
              <w:t>9</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048"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纳入专户管理的非税收入拨款：</w:t>
            </w:r>
          </w:p>
        </w:tc>
        <w:tc>
          <w:tcPr>
            <w:tcW w:w="3951"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048" w:type="dxa"/>
            <w:gridSpan w:val="4"/>
            <w:tcBorders>
              <w:top w:val="nil"/>
              <w:left w:val="nil"/>
              <w:bottom w:val="single" w:color="auto" w:sz="4" w:space="0"/>
              <w:right w:val="single" w:color="auto" w:sz="4" w:space="0"/>
            </w:tcBorders>
            <w:noWrap w:val="0"/>
            <w:vAlign w:val="center"/>
          </w:tcPr>
          <w:p>
            <w:pPr>
              <w:widowControl/>
              <w:spacing w:line="240" w:lineRule="exact"/>
              <w:ind w:firstLine="1400" w:firstLineChars="7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3951"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5048"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3951" w:type="dxa"/>
            <w:gridSpan w:val="4"/>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048" w:type="dxa"/>
            <w:gridSpan w:val="4"/>
            <w:tcBorders>
              <w:top w:val="single" w:color="auto" w:sz="4" w:space="0"/>
              <w:left w:val="nil"/>
              <w:bottom w:val="single" w:color="auto" w:sz="4" w:space="0"/>
              <w:right w:val="single" w:color="000000" w:sz="4" w:space="0"/>
            </w:tcBorders>
            <w:noWrap w:val="0"/>
            <w:vAlign w:val="top"/>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开展</w:t>
            </w:r>
            <w:r>
              <w:rPr>
                <w:rFonts w:hint="eastAsia" w:ascii="仿宋_GB2312" w:hAnsi="仿宋_GB2312" w:eastAsia="仿宋_GB2312" w:cs="仿宋_GB2312"/>
                <w:color w:val="000000"/>
                <w:sz w:val="20"/>
                <w:szCs w:val="20"/>
                <w:highlight w:val="none"/>
              </w:rPr>
              <w:t>年鉴编纂工作</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开展党史征研工作</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进行党史宣传工作</w:t>
            </w:r>
            <w:r>
              <w:rPr>
                <w:rFonts w:hint="eastAsia" w:ascii="仿宋_GB2312" w:hAnsi="仿宋_GB2312" w:eastAsia="仿宋_GB2312" w:cs="仿宋_GB2312"/>
                <w:color w:val="000000"/>
                <w:sz w:val="20"/>
                <w:szCs w:val="20"/>
                <w:highlight w:val="none"/>
                <w:lang w:eastAsia="zh-CN"/>
              </w:rPr>
              <w:t>，档案管理与指导。</w:t>
            </w:r>
          </w:p>
        </w:tc>
        <w:tc>
          <w:tcPr>
            <w:tcW w:w="3951" w:type="dxa"/>
            <w:gridSpan w:val="4"/>
            <w:tcBorders>
              <w:top w:val="single" w:color="auto" w:sz="4" w:space="0"/>
              <w:left w:val="nil"/>
              <w:bottom w:val="single" w:color="auto" w:sz="4" w:space="0"/>
              <w:right w:val="single" w:color="auto" w:sz="4" w:space="0"/>
            </w:tcBorders>
            <w:noWrap w:val="0"/>
            <w:vAlign w:val="top"/>
          </w:tcPr>
          <w:p>
            <w:pPr>
              <w:widowControl/>
              <w:spacing w:line="240" w:lineRule="exact"/>
              <w:jc w:val="both"/>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kern w:val="0"/>
                <w:sz w:val="20"/>
                <w:szCs w:val="20"/>
                <w:highlight w:val="none"/>
                <w:lang w:val="en-US" w:eastAsia="zh-CN" w:bidi="ar-SA"/>
              </w:rPr>
              <w:t>围绕“存史、资政、育人”职能，进一步加强制度建设，提高财政资金使用绩效，促进管理效能提升，工作任务完成</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14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43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395"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年度指标值</w:t>
            </w:r>
          </w:p>
        </w:tc>
        <w:tc>
          <w:tcPr>
            <w:tcW w:w="132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实际完成值</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20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widowControl/>
              <w:spacing w:line="240" w:lineRule="exact"/>
              <w:jc w:val="center"/>
              <w:rPr>
                <w:rFonts w:hint="eastAsia" w:ascii="仿宋_GB2312" w:hAnsi="仿宋_GB2312" w:eastAsia="仿宋_GB2312" w:cs="仿宋_GB2312"/>
                <w:color w:val="000000"/>
                <w:sz w:val="20"/>
                <w:szCs w:val="20"/>
                <w:highlight w:val="none"/>
              </w:rPr>
            </w:pP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141"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43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完成岳阳市君山区历史》（第一卷）</w:t>
            </w:r>
          </w:p>
        </w:tc>
        <w:tc>
          <w:tcPr>
            <w:tcW w:w="139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1卷</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1卷</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2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141"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432"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编纂出版《君山年鉴《（2023）》</w:t>
            </w:r>
          </w:p>
        </w:tc>
        <w:tc>
          <w:tcPr>
            <w:tcW w:w="139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1卷</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1卷</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2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332"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141"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432"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档案接收</w:t>
            </w:r>
          </w:p>
        </w:tc>
        <w:tc>
          <w:tcPr>
            <w:tcW w:w="139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lang w:val="en-US" w:eastAsia="zh-CN"/>
              </w:rPr>
              <w:t xml:space="preserve"> 5000卷</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5600卷</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2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trHeight w:val="332"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141"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432"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val="en-US" w:eastAsia="zh-CN"/>
              </w:rPr>
              <w:t>稿件合格率</w:t>
            </w:r>
          </w:p>
        </w:tc>
        <w:tc>
          <w:tcPr>
            <w:tcW w:w="139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w:t>
            </w:r>
            <w:r>
              <w:rPr>
                <w:rFonts w:hint="eastAsia" w:ascii="Arial" w:hAnsi="Arial" w:eastAsia="仿宋_GB2312" w:cs="Arial"/>
                <w:color w:val="000000"/>
                <w:sz w:val="20"/>
                <w:szCs w:val="20"/>
                <w:highlight w:val="none"/>
                <w:lang w:val="en-US" w:eastAsia="zh-CN"/>
              </w:rPr>
              <w:t>95%</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98%</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lang w:val="en-US" w:eastAsia="zh-CN"/>
              </w:rPr>
              <w:t>10</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2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95"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141"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432"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档案接收及时率</w:t>
            </w:r>
          </w:p>
        </w:tc>
        <w:tc>
          <w:tcPr>
            <w:tcW w:w="139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w:t>
            </w:r>
            <w:r>
              <w:rPr>
                <w:rFonts w:hint="eastAsia" w:ascii="Arial" w:hAnsi="Arial" w:eastAsia="仿宋_GB2312" w:cs="Arial"/>
                <w:color w:val="000000"/>
                <w:sz w:val="20"/>
                <w:szCs w:val="20"/>
                <w:highlight w:val="none"/>
                <w:lang w:val="en-US" w:eastAsia="zh-CN"/>
              </w:rPr>
              <w:t>98%</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2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141"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432"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党史宣传完成率</w:t>
            </w:r>
          </w:p>
        </w:tc>
        <w:tc>
          <w:tcPr>
            <w:tcW w:w="139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Arial" w:hAnsi="Arial" w:eastAsia="仿宋_GB2312" w:cs="Arial"/>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100%</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2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14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432"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eastAsia="zh-CN"/>
              </w:rPr>
              <w:t>按</w:t>
            </w:r>
            <w:r>
              <w:rPr>
                <w:rFonts w:hint="eastAsia" w:ascii="仿宋_GB2312" w:hAnsi="仿宋_GB2312" w:eastAsia="仿宋_GB2312" w:cs="仿宋_GB2312"/>
                <w:color w:val="000000"/>
                <w:sz w:val="20"/>
                <w:szCs w:val="20"/>
              </w:rPr>
              <w:t>计划时间完成任务</w:t>
            </w:r>
          </w:p>
        </w:tc>
        <w:tc>
          <w:tcPr>
            <w:tcW w:w="1395"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2023、12、31</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2023、12、31</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2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14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432"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rPr>
              <w:t>完成任务支出不超过预算批复金额</w:t>
            </w:r>
          </w:p>
        </w:tc>
        <w:tc>
          <w:tcPr>
            <w:tcW w:w="139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default" w:ascii="Arial" w:hAnsi="Arial" w:eastAsia="仿宋_GB2312" w:cs="Arial"/>
                <w:sz w:val="20"/>
                <w:szCs w:val="20"/>
                <w:highlight w:val="none"/>
              </w:rPr>
              <w:t>≤</w:t>
            </w:r>
            <w:r>
              <w:rPr>
                <w:rFonts w:hint="eastAsia" w:ascii="仿宋_GB2312" w:hAnsi="仿宋_GB2312" w:eastAsia="仿宋_GB2312" w:cs="仿宋_GB2312"/>
                <w:sz w:val="20"/>
                <w:szCs w:val="20"/>
                <w:highlight w:val="none"/>
                <w:lang w:eastAsia="zh-CN"/>
              </w:rPr>
              <w:t>284</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lang w:eastAsia="zh-CN"/>
              </w:rPr>
              <w:t>7</w:t>
            </w:r>
            <w:r>
              <w:rPr>
                <w:rFonts w:hint="eastAsia" w:ascii="仿宋_GB2312" w:hAnsi="仿宋_GB2312" w:eastAsia="仿宋_GB2312" w:cs="仿宋_GB2312"/>
                <w:sz w:val="20"/>
                <w:szCs w:val="20"/>
                <w:highlight w:val="none"/>
                <w:lang w:val="en-US" w:eastAsia="zh-CN"/>
              </w:rPr>
              <w:t>6</w:t>
            </w:r>
            <w:r>
              <w:rPr>
                <w:rFonts w:hint="eastAsia" w:ascii="仿宋_GB2312" w:hAnsi="仿宋_GB2312" w:eastAsia="仿宋_GB2312" w:cs="仿宋_GB2312"/>
                <w:color w:val="000000"/>
                <w:sz w:val="20"/>
                <w:szCs w:val="20"/>
                <w:highlight w:val="none"/>
                <w:lang w:val="en-US" w:eastAsia="zh-CN"/>
              </w:rPr>
              <w:t>万元</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sz w:val="20"/>
                <w:szCs w:val="20"/>
                <w:highlight w:val="none"/>
                <w:lang w:eastAsia="zh-CN"/>
              </w:rPr>
              <w:t>284</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lang w:eastAsia="zh-CN"/>
              </w:rPr>
              <w:t>7</w:t>
            </w:r>
            <w:r>
              <w:rPr>
                <w:rFonts w:hint="eastAsia" w:ascii="仿宋_GB2312" w:hAnsi="仿宋_GB2312" w:eastAsia="仿宋_GB2312" w:cs="仿宋_GB2312"/>
                <w:sz w:val="20"/>
                <w:szCs w:val="20"/>
                <w:highlight w:val="none"/>
                <w:lang w:val="en-US" w:eastAsia="zh-CN"/>
              </w:rPr>
              <w:t>6</w:t>
            </w:r>
            <w:r>
              <w:rPr>
                <w:rFonts w:hint="eastAsia" w:ascii="仿宋_GB2312" w:hAnsi="仿宋_GB2312" w:eastAsia="仿宋_GB2312" w:cs="仿宋_GB2312"/>
                <w:color w:val="000000"/>
                <w:sz w:val="20"/>
                <w:szCs w:val="20"/>
                <w:highlight w:val="none"/>
                <w:lang w:val="en-US" w:eastAsia="zh-CN"/>
              </w:rPr>
              <w:t>万元</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2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widowControl/>
              <w:spacing w:line="240" w:lineRule="exact"/>
              <w:jc w:val="left"/>
              <w:rPr>
                <w:rFonts w:hint="eastAsia" w:ascii="仿宋_GB2312" w:hAnsi="仿宋_GB2312" w:eastAsia="仿宋_GB2312" w:cs="仿宋_GB2312"/>
                <w:color w:val="000000"/>
                <w:sz w:val="20"/>
                <w:szCs w:val="20"/>
                <w:highlight w:val="none"/>
              </w:rPr>
            </w:pP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4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432"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开展党史宣教活动，具有较好地存史资政育人价值，服务经济社会发展</w:t>
            </w:r>
          </w:p>
        </w:tc>
        <w:tc>
          <w:tcPr>
            <w:tcW w:w="139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w:t>
            </w:r>
          </w:p>
        </w:tc>
        <w:tc>
          <w:tcPr>
            <w:tcW w:w="12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14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432"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编纂史志书籍，存史资政育人</w:t>
            </w:r>
          </w:p>
        </w:tc>
        <w:tc>
          <w:tcPr>
            <w:tcW w:w="139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2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14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43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编纂史志书籍，具有存史资政的作用</w:t>
            </w:r>
          </w:p>
        </w:tc>
        <w:tc>
          <w:tcPr>
            <w:tcW w:w="139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2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90" w:hRule="atLeast"/>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14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432"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编纂史志书籍，存史资政育人</w:t>
            </w:r>
          </w:p>
        </w:tc>
        <w:tc>
          <w:tcPr>
            <w:tcW w:w="139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32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70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72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w:t>
            </w:r>
          </w:p>
        </w:tc>
        <w:tc>
          <w:tcPr>
            <w:tcW w:w="120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33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14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43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社会公众或服务对象满意度</w:t>
            </w:r>
          </w:p>
        </w:tc>
        <w:tc>
          <w:tcPr>
            <w:tcW w:w="1395"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95%</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95%</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2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70" w:hRule="atLeast"/>
          <w:jc w:val="center"/>
        </w:trPr>
        <w:tc>
          <w:tcPr>
            <w:tcW w:w="7448" w:type="dxa"/>
            <w:gridSpan w:val="6"/>
            <w:tcBorders>
              <w:top w:val="single" w:color="auto" w:sz="4" w:space="0"/>
              <w:left w:val="single" w:color="auto" w:sz="4" w:space="0"/>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98</w:t>
            </w:r>
          </w:p>
        </w:tc>
        <w:tc>
          <w:tcPr>
            <w:tcW w:w="12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r>
        <w:rPr>
          <w:rFonts w:hint="default" w:ascii="Times New Roman" w:hAnsi="Times New Roman" w:eastAsia="仿宋_GB2312" w:cs="Times New Roman"/>
          <w:sz w:val="22"/>
          <w:szCs w:val="22"/>
          <w:highlight w:val="none"/>
        </w:rPr>
        <w:t xml:space="preserve">填表人：      填报日期：         联系电话：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单位负责人签字：</w:t>
      </w:r>
    </w:p>
    <w:p>
      <w:pPr>
        <w:widowControl/>
        <w:spacing w:line="600" w:lineRule="exact"/>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5"/>
        <w:tblW w:w="10010" w:type="dxa"/>
        <w:jc w:val="center"/>
        <w:tblLayout w:type="fixed"/>
        <w:tblCellMar>
          <w:top w:w="0" w:type="dxa"/>
          <w:left w:w="108" w:type="dxa"/>
          <w:bottom w:w="0" w:type="dxa"/>
          <w:right w:w="108" w:type="dxa"/>
        </w:tblCellMar>
      </w:tblPr>
      <w:tblGrid>
        <w:gridCol w:w="1054"/>
        <w:gridCol w:w="1062"/>
        <w:gridCol w:w="1047"/>
        <w:gridCol w:w="1385"/>
        <w:gridCol w:w="1227"/>
        <w:gridCol w:w="1213"/>
        <w:gridCol w:w="642"/>
        <w:gridCol w:w="859"/>
        <w:gridCol w:w="1521"/>
      </w:tblGrid>
      <w:tr>
        <w:tblPrEx>
          <w:tblCellMar>
            <w:top w:w="0" w:type="dxa"/>
            <w:left w:w="108" w:type="dxa"/>
            <w:bottom w:w="0" w:type="dxa"/>
            <w:right w:w="108" w:type="dxa"/>
          </w:tblCellMar>
        </w:tblPrEx>
        <w:trPr>
          <w:jc w:val="center"/>
        </w:trPr>
        <w:tc>
          <w:tcPr>
            <w:tcW w:w="1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8956" w:type="dxa"/>
            <w:gridSpan w:val="8"/>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xml:space="preserve"> 党史研究室专项　</w:t>
            </w:r>
          </w:p>
        </w:tc>
      </w:tr>
      <w:tr>
        <w:tblPrEx>
          <w:tblCellMar>
            <w:top w:w="0" w:type="dxa"/>
            <w:left w:w="108" w:type="dxa"/>
            <w:bottom w:w="0" w:type="dxa"/>
            <w:right w:w="108" w:type="dxa"/>
          </w:tblCellMar>
        </w:tblPrEx>
        <w:trPr>
          <w:jc w:val="center"/>
        </w:trPr>
        <w:tc>
          <w:tcPr>
            <w:tcW w:w="105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721"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lang w:val="en-US" w:eastAsia="zh-CN"/>
              </w:rPr>
              <w:t>中共岳阳市君山区委党史研究室</w:t>
            </w:r>
          </w:p>
        </w:tc>
        <w:tc>
          <w:tcPr>
            <w:tcW w:w="1213"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3022" w:type="dxa"/>
            <w:gridSpan w:val="3"/>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val="en-US" w:eastAsia="zh-CN"/>
              </w:rPr>
              <w:t>中共岳阳市君山区委党史研究室</w:t>
            </w: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54"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项目资金</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109"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38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22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213"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642"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59"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521"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54"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09"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38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38.5</w:t>
            </w:r>
          </w:p>
        </w:tc>
        <w:tc>
          <w:tcPr>
            <w:tcW w:w="122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38.5</w:t>
            </w:r>
          </w:p>
        </w:tc>
        <w:tc>
          <w:tcPr>
            <w:tcW w:w="12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38.5</w:t>
            </w:r>
          </w:p>
        </w:tc>
        <w:tc>
          <w:tcPr>
            <w:tcW w:w="6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w:t>
            </w:r>
          </w:p>
        </w:tc>
        <w:tc>
          <w:tcPr>
            <w:tcW w:w="85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15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w:t>
            </w:r>
          </w:p>
        </w:tc>
      </w:tr>
      <w:tr>
        <w:tblPrEx>
          <w:tblCellMar>
            <w:top w:w="0" w:type="dxa"/>
            <w:left w:w="108" w:type="dxa"/>
            <w:bottom w:w="0" w:type="dxa"/>
            <w:right w:w="108" w:type="dxa"/>
          </w:tblCellMar>
        </w:tblPrEx>
        <w:trPr>
          <w:jc w:val="center"/>
        </w:trPr>
        <w:tc>
          <w:tcPr>
            <w:tcW w:w="1054"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09"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38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38.5</w:t>
            </w:r>
          </w:p>
        </w:tc>
        <w:tc>
          <w:tcPr>
            <w:tcW w:w="122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38.5</w:t>
            </w:r>
          </w:p>
        </w:tc>
        <w:tc>
          <w:tcPr>
            <w:tcW w:w="12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38.5</w:t>
            </w:r>
          </w:p>
        </w:tc>
        <w:tc>
          <w:tcPr>
            <w:tcW w:w="6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5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5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54"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09"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38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6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5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5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54"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09"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38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6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5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5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54"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721"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235"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54"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721"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开展史料收录，完成《（2023年）君山区大事记》、《君山记忆》编纂及组稿工作。</w:t>
            </w:r>
            <w:r>
              <w:rPr>
                <w:rFonts w:hint="eastAsia" w:ascii="仿宋_GB2312" w:hAnsi="仿宋_GB2312" w:eastAsia="仿宋_GB2312" w:cs="仿宋_GB2312"/>
                <w:color w:val="000000"/>
                <w:sz w:val="20"/>
                <w:szCs w:val="20"/>
                <w:highlight w:val="none"/>
              </w:rPr>
              <w:t>　　</w:t>
            </w:r>
          </w:p>
        </w:tc>
        <w:tc>
          <w:tcPr>
            <w:tcW w:w="4235"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资金拨付到位，已完成相关工作。</w:t>
            </w: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54" w:type="dxa"/>
            <w:vMerge w:val="restart"/>
            <w:tcBorders>
              <w:top w:val="nil"/>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6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4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38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22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2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6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5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5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54"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2"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4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38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完成党史专题调研课题</w:t>
            </w:r>
          </w:p>
        </w:tc>
        <w:tc>
          <w:tcPr>
            <w:tcW w:w="122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2个</w:t>
            </w:r>
          </w:p>
        </w:tc>
        <w:tc>
          <w:tcPr>
            <w:tcW w:w="12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2个</w:t>
            </w:r>
          </w:p>
        </w:tc>
        <w:tc>
          <w:tcPr>
            <w:tcW w:w="6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5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5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54"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4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38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发现革命遗址，并立碑</w:t>
            </w:r>
          </w:p>
        </w:tc>
        <w:tc>
          <w:tcPr>
            <w:tcW w:w="122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8处</w:t>
            </w:r>
          </w:p>
        </w:tc>
        <w:tc>
          <w:tcPr>
            <w:tcW w:w="12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8处</w:t>
            </w:r>
          </w:p>
        </w:tc>
        <w:tc>
          <w:tcPr>
            <w:tcW w:w="6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5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5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54"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4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38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完成区级红色教育基地建设</w:t>
            </w:r>
          </w:p>
        </w:tc>
        <w:tc>
          <w:tcPr>
            <w:tcW w:w="122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1个</w:t>
            </w:r>
          </w:p>
        </w:tc>
        <w:tc>
          <w:tcPr>
            <w:tcW w:w="12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1个</w:t>
            </w:r>
          </w:p>
        </w:tc>
        <w:tc>
          <w:tcPr>
            <w:tcW w:w="6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5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5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54"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4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38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编辑《君山记忆》</w:t>
            </w:r>
          </w:p>
        </w:tc>
        <w:tc>
          <w:tcPr>
            <w:tcW w:w="122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10辑</w:t>
            </w:r>
          </w:p>
        </w:tc>
        <w:tc>
          <w:tcPr>
            <w:tcW w:w="12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第</w:t>
            </w:r>
            <w:r>
              <w:rPr>
                <w:rFonts w:hint="eastAsia" w:ascii="仿宋_GB2312" w:hAnsi="仿宋_GB2312" w:eastAsia="仿宋_GB2312" w:cs="仿宋_GB2312"/>
                <w:color w:val="000000"/>
                <w:sz w:val="20"/>
                <w:szCs w:val="20"/>
                <w:highlight w:val="none"/>
                <w:lang w:val="en-US" w:eastAsia="zh-CN"/>
              </w:rPr>
              <w:t>10辑</w:t>
            </w:r>
          </w:p>
        </w:tc>
        <w:tc>
          <w:tcPr>
            <w:tcW w:w="6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5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5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54"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4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38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编纂2023年《君山年鉴（2023）》</w:t>
            </w:r>
          </w:p>
        </w:tc>
        <w:tc>
          <w:tcPr>
            <w:tcW w:w="122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完成</w:t>
            </w:r>
          </w:p>
        </w:tc>
        <w:tc>
          <w:tcPr>
            <w:tcW w:w="12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已出版</w:t>
            </w:r>
          </w:p>
        </w:tc>
        <w:tc>
          <w:tcPr>
            <w:tcW w:w="6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5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5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54"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4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38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在计划时间里完成任务</w:t>
            </w:r>
          </w:p>
        </w:tc>
        <w:tc>
          <w:tcPr>
            <w:tcW w:w="122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2023.12.31</w:t>
            </w:r>
          </w:p>
        </w:tc>
        <w:tc>
          <w:tcPr>
            <w:tcW w:w="12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2023.12.31</w:t>
            </w:r>
          </w:p>
        </w:tc>
        <w:tc>
          <w:tcPr>
            <w:tcW w:w="6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5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5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54"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4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38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rPr>
              <w:t>完成任务支出不超过预算批复金额</w:t>
            </w:r>
          </w:p>
        </w:tc>
        <w:tc>
          <w:tcPr>
            <w:tcW w:w="1227"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宋体" w:hAnsi="宋体" w:eastAsia="宋体" w:cs="宋体"/>
                <w:color w:val="000000"/>
                <w:sz w:val="20"/>
                <w:szCs w:val="20"/>
                <w:highlight w:val="none"/>
              </w:rPr>
              <w:t>≦</w:t>
            </w:r>
            <w:r>
              <w:rPr>
                <w:rFonts w:hint="eastAsia" w:ascii="仿宋_GB2312" w:hAnsi="仿宋_GB2312" w:eastAsia="仿宋_GB2312" w:cs="仿宋_GB2312"/>
                <w:color w:val="000000"/>
                <w:sz w:val="20"/>
                <w:szCs w:val="20"/>
                <w:highlight w:val="none"/>
              </w:rPr>
              <w:t>38.5</w:t>
            </w:r>
            <w:r>
              <w:rPr>
                <w:rFonts w:hint="eastAsia" w:ascii="仿宋_GB2312" w:hAnsi="仿宋_GB2312" w:eastAsia="仿宋_GB2312" w:cs="仿宋_GB2312"/>
                <w:color w:val="000000"/>
                <w:sz w:val="20"/>
                <w:szCs w:val="20"/>
                <w:highlight w:val="none"/>
                <w:lang w:val="en-US" w:eastAsia="zh-CN"/>
              </w:rPr>
              <w:t>万元</w:t>
            </w:r>
          </w:p>
        </w:tc>
        <w:tc>
          <w:tcPr>
            <w:tcW w:w="121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38.5</w:t>
            </w:r>
            <w:r>
              <w:rPr>
                <w:rFonts w:hint="eastAsia" w:ascii="仿宋_GB2312" w:hAnsi="仿宋_GB2312" w:eastAsia="仿宋_GB2312" w:cs="仿宋_GB2312"/>
                <w:color w:val="000000"/>
                <w:sz w:val="20"/>
                <w:szCs w:val="20"/>
                <w:highlight w:val="none"/>
                <w:lang w:val="en-US" w:eastAsia="zh-CN"/>
              </w:rPr>
              <w:t>万元</w:t>
            </w:r>
          </w:p>
        </w:tc>
        <w:tc>
          <w:tcPr>
            <w:tcW w:w="6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5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5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54"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2"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38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kern w:val="0"/>
                <w:sz w:val="20"/>
                <w:szCs w:val="20"/>
                <w:highlight w:val="none"/>
                <w:lang w:val="en-US" w:eastAsia="zh-CN" w:bidi="ar-SA"/>
              </w:rPr>
              <w:t>存史、资政、育人</w:t>
            </w:r>
            <w:r>
              <w:rPr>
                <w:rFonts w:hint="eastAsia" w:ascii="仿宋_GB2312" w:hAnsi="仿宋_GB2312" w:eastAsia="仿宋_GB2312" w:cs="仿宋_GB2312"/>
                <w:color w:val="000000"/>
                <w:sz w:val="20"/>
                <w:szCs w:val="20"/>
                <w:highlight w:val="none"/>
              </w:rPr>
              <w:t>，</w:t>
            </w:r>
            <w:r>
              <w:rPr>
                <w:rFonts w:hint="eastAsia" w:ascii="仿宋_GB2312" w:hAnsi="仿宋_GB2312" w:eastAsia="仿宋_GB2312" w:cs="仿宋_GB2312"/>
                <w:color w:val="000000"/>
                <w:sz w:val="20"/>
                <w:szCs w:val="20"/>
                <w:lang w:val="en-US" w:eastAsia="zh-CN"/>
              </w:rPr>
              <w:t>服务经济发展</w:t>
            </w:r>
          </w:p>
        </w:tc>
        <w:tc>
          <w:tcPr>
            <w:tcW w:w="122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2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效果明显</w:t>
            </w:r>
          </w:p>
        </w:tc>
        <w:tc>
          <w:tcPr>
            <w:tcW w:w="6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5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w:t>
            </w:r>
          </w:p>
        </w:tc>
        <w:tc>
          <w:tcPr>
            <w:tcW w:w="15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54"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4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38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kern w:val="0"/>
                <w:sz w:val="20"/>
                <w:szCs w:val="20"/>
                <w:highlight w:val="none"/>
                <w:lang w:val="en-US" w:eastAsia="zh-CN" w:bidi="ar-SA"/>
              </w:rPr>
              <w:t>存史、资政、育人</w:t>
            </w:r>
            <w:r>
              <w:rPr>
                <w:rFonts w:hint="eastAsia" w:ascii="仿宋_GB2312" w:hAnsi="仿宋_GB2312" w:eastAsia="仿宋_GB2312" w:cs="仿宋_GB2312"/>
                <w:color w:val="000000"/>
                <w:sz w:val="20"/>
                <w:szCs w:val="20"/>
                <w:highlight w:val="none"/>
              </w:rPr>
              <w:t>，</w:t>
            </w:r>
            <w:r>
              <w:rPr>
                <w:rFonts w:hint="eastAsia" w:ascii="仿宋_GB2312" w:hAnsi="仿宋_GB2312" w:eastAsia="仿宋_GB2312" w:cs="仿宋_GB2312"/>
                <w:color w:val="000000"/>
                <w:sz w:val="20"/>
                <w:szCs w:val="20"/>
                <w:highlight w:val="none"/>
                <w:lang w:eastAsia="zh-CN"/>
              </w:rPr>
              <w:t>营造和谐的社会秩序</w:t>
            </w:r>
          </w:p>
        </w:tc>
        <w:tc>
          <w:tcPr>
            <w:tcW w:w="122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2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效果明显</w:t>
            </w:r>
          </w:p>
        </w:tc>
        <w:tc>
          <w:tcPr>
            <w:tcW w:w="6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5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5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54"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4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38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引导全社会尊重自然，重视环境</w:t>
            </w:r>
          </w:p>
        </w:tc>
        <w:tc>
          <w:tcPr>
            <w:tcW w:w="122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2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效果明显</w:t>
            </w:r>
          </w:p>
        </w:tc>
        <w:tc>
          <w:tcPr>
            <w:tcW w:w="6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5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5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54"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6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4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3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促进经济发展，社会和谐，生态改善</w:t>
            </w:r>
          </w:p>
        </w:tc>
        <w:tc>
          <w:tcPr>
            <w:tcW w:w="12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2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效果明显</w:t>
            </w:r>
          </w:p>
        </w:tc>
        <w:tc>
          <w:tcPr>
            <w:tcW w:w="64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52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54"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38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社会公众或服务对象满意度</w:t>
            </w:r>
          </w:p>
        </w:tc>
        <w:tc>
          <w:tcPr>
            <w:tcW w:w="1227"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90%</w:t>
            </w:r>
          </w:p>
        </w:tc>
        <w:tc>
          <w:tcPr>
            <w:tcW w:w="121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95%</w:t>
            </w:r>
          </w:p>
        </w:tc>
        <w:tc>
          <w:tcPr>
            <w:tcW w:w="6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5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5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6988" w:type="dxa"/>
            <w:gridSpan w:val="6"/>
            <w:tcBorders>
              <w:top w:val="single" w:color="auto" w:sz="4" w:space="0"/>
              <w:left w:val="single" w:color="auto" w:sz="4" w:space="0"/>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6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5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99</w:t>
            </w:r>
          </w:p>
        </w:tc>
        <w:tc>
          <w:tcPr>
            <w:tcW w:w="15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rPr>
          <w:rFonts w:hint="default" w:ascii="Times New Roman" w:hAnsi="Times New Roman" w:eastAsia="仿宋_GB2312" w:cs="Times New Roman"/>
          <w:sz w:val="18"/>
          <w:szCs w:val="18"/>
          <w:highlight w:val="none"/>
        </w:rPr>
      </w:pPr>
    </w:p>
    <w:p>
      <w:pPr>
        <w:rPr>
          <w:rFonts w:hint="default" w:ascii="Times New Roman" w:hAnsi="Times New Roman" w:eastAsia="仿宋_GB2312" w:cs="Times New Roman"/>
          <w:szCs w:val="21"/>
          <w:highlight w:val="none"/>
        </w:rPr>
      </w:pPr>
      <w:r>
        <w:rPr>
          <w:rFonts w:hint="default" w:ascii="Times New Roman" w:hAnsi="Times New Roman" w:eastAsia="仿宋_GB2312" w:cs="Times New Roman"/>
          <w:sz w:val="18"/>
          <w:szCs w:val="18"/>
          <w:highlight w:val="none"/>
        </w:rPr>
        <w:t>备注：一个一级项目支出一张表。</w:t>
      </w:r>
      <w:r>
        <w:rPr>
          <w:rFonts w:hint="eastAsia" w:ascii="Times New Roman" w:hAnsi="Times New Roman" w:eastAsia="仿宋_GB2312" w:cs="Times New Roman"/>
          <w:sz w:val="18"/>
          <w:szCs w:val="18"/>
          <w:highlight w:val="none"/>
          <w:lang w:eastAsia="zh-CN"/>
        </w:rPr>
        <w:t>如，</w:t>
      </w:r>
      <w:r>
        <w:rPr>
          <w:rFonts w:hint="default" w:ascii="Times New Roman" w:hAnsi="Times New Roman" w:eastAsia="仿宋_GB2312" w:cs="Times New Roman"/>
          <w:sz w:val="18"/>
          <w:szCs w:val="18"/>
          <w:highlight w:val="none"/>
        </w:rPr>
        <w:t>业务工作经费</w:t>
      </w:r>
      <w:r>
        <w:rPr>
          <w:rFonts w:hint="eastAsia" w:ascii="Times New Roman" w:hAnsi="Times New Roman" w:eastAsia="仿宋_GB2312" w:cs="Times New Roman"/>
          <w:sz w:val="18"/>
          <w:szCs w:val="18"/>
          <w:highlight w:val="none"/>
          <w:lang w:eastAsia="zh-CN"/>
        </w:rPr>
        <w:t>，</w:t>
      </w:r>
      <w:r>
        <w:rPr>
          <w:rFonts w:hint="default" w:ascii="Times New Roman" w:hAnsi="Times New Roman" w:eastAsia="仿宋_GB2312" w:cs="Times New Roman"/>
          <w:sz w:val="18"/>
          <w:szCs w:val="18"/>
          <w:highlight w:val="none"/>
        </w:rPr>
        <w:t>运行维护经费</w:t>
      </w:r>
      <w:r>
        <w:rPr>
          <w:rFonts w:hint="eastAsia" w:ascii="Times New Roman" w:hAnsi="Times New Roman" w:eastAsia="仿宋_GB2312" w:cs="Times New Roman"/>
          <w:sz w:val="18"/>
          <w:szCs w:val="18"/>
          <w:highlight w:val="none"/>
          <w:lang w:eastAsia="zh-CN"/>
        </w:rPr>
        <w:t>，其他事业发展类资金…各一张表。</w:t>
      </w: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Times New Roman" w:hAnsi="Times New Roman" w:eastAsia="仿宋_GB2312" w:cs="Times New Roman"/>
          <w:sz w:val="22"/>
          <w:szCs w:val="22"/>
          <w:highlight w:val="none"/>
          <w:lang w:eastAsia="zh-CN"/>
        </w:rPr>
      </w:pPr>
      <w:r>
        <w:rPr>
          <w:rFonts w:hint="default" w:ascii="Times New Roman" w:hAnsi="Times New Roman" w:eastAsia="仿宋_GB2312" w:cs="Times New Roman"/>
          <w:sz w:val="22"/>
          <w:szCs w:val="22"/>
          <w:highlight w:val="none"/>
        </w:rPr>
        <w:t xml:space="preserve">填表人：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填报日期：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联系电话：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 单位负责人签字：</w:t>
      </w:r>
    </w:p>
    <w:sectPr>
      <w:pgSz w:w="11906" w:h="16838"/>
      <w:pgMar w:top="1157" w:right="1800" w:bottom="110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D5CF54B2-51F1-4F2E-B8E7-30B21291AD1E}"/>
  </w:font>
  <w:font w:name="黑体">
    <w:panose1 w:val="02010609060101010101"/>
    <w:charset w:val="86"/>
    <w:family w:val="auto"/>
    <w:pitch w:val="default"/>
    <w:sig w:usb0="800002BF" w:usb1="38CF7CFA" w:usb2="00000016" w:usb3="00000000" w:csb0="00040001" w:csb1="00000000"/>
    <w:embedRegular r:id="rId2" w:fontKey="{CAF919F6-EB4B-4A0B-8A1D-35DB79A354A8}"/>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3" w:fontKey="{0D6D5C08-FB3D-44E3-ADBD-FDF254036154}"/>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embedRegular r:id="rId4" w:fontKey="{4A07DADB-E117-40F9-A1D4-B221725B0BED}"/>
  </w:font>
  <w:font w:name="方正小标宋_GBK">
    <w:panose1 w:val="02000000000000000000"/>
    <w:charset w:val="86"/>
    <w:family w:val="script"/>
    <w:pitch w:val="default"/>
    <w:sig w:usb0="A00002BF" w:usb1="38CF7CFA" w:usb2="00082016" w:usb3="00000000" w:csb0="00040001" w:csb1="00000000"/>
    <w:embedRegular r:id="rId5" w:fontKey="{E464C5F9-E875-4791-A855-5C01DC191635}"/>
  </w:font>
  <w:font w:name="方正小标宋简体">
    <w:panose1 w:val="03000509000000000000"/>
    <w:charset w:val="86"/>
    <w:family w:val="auto"/>
    <w:pitch w:val="default"/>
    <w:sig w:usb0="00000001" w:usb1="080E0000" w:usb2="00000000" w:usb3="00000000" w:csb0="00040000" w:csb1="00000000"/>
    <w:embedRegular r:id="rId6" w:fontKey="{2DA9A966-5891-4EE5-902B-BD5098B8BE8B}"/>
  </w:font>
  <w:font w:name="楷体_GB2312">
    <w:panose1 w:val="02010609030101010101"/>
    <w:charset w:val="86"/>
    <w:family w:val="modern"/>
    <w:pitch w:val="default"/>
    <w:sig w:usb0="00000001" w:usb1="080E0000" w:usb2="00000000" w:usb3="00000000" w:csb0="00040000" w:csb1="00000000"/>
    <w:embedRegular r:id="rId7" w:fontKey="{74DB1B43-DF89-4B0D-AD64-E61E0E6E00DB}"/>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E55167"/>
    <w:multiLevelType w:val="singleLevel"/>
    <w:tmpl w:val="A5E55167"/>
    <w:lvl w:ilvl="0" w:tentative="0">
      <w:start w:val="8"/>
      <w:numFmt w:val="chineseCounting"/>
      <w:suff w:val="nothing"/>
      <w:lvlText w:val="%1、"/>
      <w:lvlJc w:val="left"/>
      <w:rPr>
        <w:rFonts w:hint="eastAsia"/>
      </w:rPr>
    </w:lvl>
  </w:abstractNum>
  <w:abstractNum w:abstractNumId="1">
    <w:nsid w:val="05C3FFB1"/>
    <w:multiLevelType w:val="singleLevel"/>
    <w:tmpl w:val="05C3FFB1"/>
    <w:lvl w:ilvl="0" w:tentative="0">
      <w:start w:val="1"/>
      <w:numFmt w:val="decimal"/>
      <w:suff w:val="nothing"/>
      <w:lvlText w:val="%1、"/>
      <w:lvlJc w:val="left"/>
    </w:lvl>
  </w:abstractNum>
  <w:abstractNum w:abstractNumId="2">
    <w:nsid w:val="1113A4A2"/>
    <w:multiLevelType w:val="singleLevel"/>
    <w:tmpl w:val="1113A4A2"/>
    <w:lvl w:ilvl="0" w:tentative="0">
      <w:start w:val="1"/>
      <w:numFmt w:val="chineseCounting"/>
      <w:suff w:val="nothing"/>
      <w:lvlText w:val="（%1）"/>
      <w:lvlJc w:val="left"/>
      <w:rPr>
        <w:rFonts w:hint="eastAsia"/>
      </w:rPr>
    </w:lvl>
  </w:abstractNum>
  <w:abstractNum w:abstractNumId="3">
    <w:nsid w:val="425036FE"/>
    <w:multiLevelType w:val="singleLevel"/>
    <w:tmpl w:val="425036FE"/>
    <w:lvl w:ilvl="0" w:tentative="0">
      <w:start w:val="2"/>
      <w:numFmt w:val="chineseCounting"/>
      <w:suff w:val="nothing"/>
      <w:lvlText w:val="（%1）"/>
      <w:lvlJc w:val="left"/>
      <w:rPr>
        <w:rFonts w:hint="eastAsia"/>
      </w:rPr>
    </w:lvl>
  </w:abstractNum>
  <w:abstractNum w:abstractNumId="4">
    <w:nsid w:val="7F0490DB"/>
    <w:multiLevelType w:val="singleLevel"/>
    <w:tmpl w:val="7F0490DB"/>
    <w:lvl w:ilvl="0" w:tentative="0">
      <w:start w:val="1"/>
      <w:numFmt w:val="chineseCounting"/>
      <w:suff w:val="nothing"/>
      <w:lvlText w:val="%1、"/>
      <w:lvlJc w:val="left"/>
      <w:rPr>
        <w:rFonts w:hint="eastAsia"/>
      </w:rPr>
    </w:lvl>
  </w:abstractNum>
  <w:abstractNum w:abstractNumId="5">
    <w:nsid w:val="7F66692C"/>
    <w:multiLevelType w:val="singleLevel"/>
    <w:tmpl w:val="7F66692C"/>
    <w:lvl w:ilvl="0" w:tentative="0">
      <w:start w:val="3"/>
      <w:numFmt w:val="chineseCounting"/>
      <w:suff w:val="nothing"/>
      <w:lvlText w:val="（%1）"/>
      <w:lvlJc w:val="left"/>
      <w:rPr>
        <w:rFonts w:hint="eastAsia"/>
      </w:rPr>
    </w:lvl>
  </w:abstractNum>
  <w:num w:numId="1">
    <w:abstractNumId w:val="4"/>
  </w:num>
  <w:num w:numId="2">
    <w:abstractNumId w:val="1"/>
  </w:num>
  <w:num w:numId="3">
    <w:abstractNumId w:val="5"/>
  </w:num>
  <w:num w:numId="4">
    <w:abstractNumId w:val="3"/>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IwNWI3YmJmMDNjOGVhNGJiY2EzNTU2YTg0MGIxY2QifQ=="/>
  </w:docVars>
  <w:rsids>
    <w:rsidRoot w:val="59886344"/>
    <w:rsid w:val="005C088A"/>
    <w:rsid w:val="0061443A"/>
    <w:rsid w:val="00F57038"/>
    <w:rsid w:val="03585F5D"/>
    <w:rsid w:val="0368705F"/>
    <w:rsid w:val="03E40645"/>
    <w:rsid w:val="05F16DA0"/>
    <w:rsid w:val="067D155B"/>
    <w:rsid w:val="08D531AA"/>
    <w:rsid w:val="0B521208"/>
    <w:rsid w:val="0BD0037E"/>
    <w:rsid w:val="0BD07CC1"/>
    <w:rsid w:val="0E0808FD"/>
    <w:rsid w:val="0FC41FA8"/>
    <w:rsid w:val="104073FF"/>
    <w:rsid w:val="13D670D0"/>
    <w:rsid w:val="13DA2702"/>
    <w:rsid w:val="1405311A"/>
    <w:rsid w:val="172B2124"/>
    <w:rsid w:val="172D2B29"/>
    <w:rsid w:val="17DC7904"/>
    <w:rsid w:val="18096877"/>
    <w:rsid w:val="18A72D74"/>
    <w:rsid w:val="198A7D37"/>
    <w:rsid w:val="1CA92FCC"/>
    <w:rsid w:val="1DD737EE"/>
    <w:rsid w:val="1E284F2F"/>
    <w:rsid w:val="1ECA401E"/>
    <w:rsid w:val="1F417171"/>
    <w:rsid w:val="1F9C4CF0"/>
    <w:rsid w:val="1FE411A4"/>
    <w:rsid w:val="20717F2A"/>
    <w:rsid w:val="20F87A39"/>
    <w:rsid w:val="216B6728"/>
    <w:rsid w:val="21D95806"/>
    <w:rsid w:val="24BE2C1C"/>
    <w:rsid w:val="27CB7F20"/>
    <w:rsid w:val="292C7FA1"/>
    <w:rsid w:val="2A100353"/>
    <w:rsid w:val="2A450AA9"/>
    <w:rsid w:val="2B0F3E96"/>
    <w:rsid w:val="2BAA0E41"/>
    <w:rsid w:val="2CD6100E"/>
    <w:rsid w:val="2D410C84"/>
    <w:rsid w:val="2F0E4B96"/>
    <w:rsid w:val="2F2045CC"/>
    <w:rsid w:val="320B53DF"/>
    <w:rsid w:val="321D3FE2"/>
    <w:rsid w:val="32C548F8"/>
    <w:rsid w:val="35012669"/>
    <w:rsid w:val="35CF5E74"/>
    <w:rsid w:val="367B2913"/>
    <w:rsid w:val="38C118F0"/>
    <w:rsid w:val="39687ABC"/>
    <w:rsid w:val="3B23785C"/>
    <w:rsid w:val="3C156456"/>
    <w:rsid w:val="3CF73497"/>
    <w:rsid w:val="3D070645"/>
    <w:rsid w:val="3F696B11"/>
    <w:rsid w:val="41137646"/>
    <w:rsid w:val="41B63929"/>
    <w:rsid w:val="41F76A00"/>
    <w:rsid w:val="42182D4E"/>
    <w:rsid w:val="427C2F78"/>
    <w:rsid w:val="42907FB1"/>
    <w:rsid w:val="43B151C2"/>
    <w:rsid w:val="440B0BF3"/>
    <w:rsid w:val="4441183E"/>
    <w:rsid w:val="445265DF"/>
    <w:rsid w:val="44930287"/>
    <w:rsid w:val="458D5615"/>
    <w:rsid w:val="47F62B74"/>
    <w:rsid w:val="4829354E"/>
    <w:rsid w:val="497F0684"/>
    <w:rsid w:val="49A50F0B"/>
    <w:rsid w:val="49C65963"/>
    <w:rsid w:val="49FF2520"/>
    <w:rsid w:val="4A747320"/>
    <w:rsid w:val="4B8C6AEB"/>
    <w:rsid w:val="4B9C166F"/>
    <w:rsid w:val="4C404189"/>
    <w:rsid w:val="4EC87298"/>
    <w:rsid w:val="503F0BFC"/>
    <w:rsid w:val="540612DD"/>
    <w:rsid w:val="54326440"/>
    <w:rsid w:val="56EE3E47"/>
    <w:rsid w:val="570F7BE9"/>
    <w:rsid w:val="577354C1"/>
    <w:rsid w:val="59886344"/>
    <w:rsid w:val="59BB0154"/>
    <w:rsid w:val="5AF440A0"/>
    <w:rsid w:val="5B192C82"/>
    <w:rsid w:val="5B411CCC"/>
    <w:rsid w:val="5B950730"/>
    <w:rsid w:val="5C1263A3"/>
    <w:rsid w:val="5EE144F9"/>
    <w:rsid w:val="61045C75"/>
    <w:rsid w:val="619E0691"/>
    <w:rsid w:val="62D378CB"/>
    <w:rsid w:val="63202106"/>
    <w:rsid w:val="6410048D"/>
    <w:rsid w:val="64CF6C8F"/>
    <w:rsid w:val="674F6FAE"/>
    <w:rsid w:val="68DD5D2B"/>
    <w:rsid w:val="6A7B3442"/>
    <w:rsid w:val="6B99345E"/>
    <w:rsid w:val="6C303DC2"/>
    <w:rsid w:val="6CA97D11"/>
    <w:rsid w:val="6E705326"/>
    <w:rsid w:val="6EBC4974"/>
    <w:rsid w:val="6EC01A4C"/>
    <w:rsid w:val="6F0D3B6F"/>
    <w:rsid w:val="70F133F4"/>
    <w:rsid w:val="73102258"/>
    <w:rsid w:val="758D6016"/>
    <w:rsid w:val="767D7DFF"/>
    <w:rsid w:val="7728263E"/>
    <w:rsid w:val="79607369"/>
    <w:rsid w:val="798C015E"/>
    <w:rsid w:val="7A5614FA"/>
    <w:rsid w:val="7BFE10CD"/>
    <w:rsid w:val="7C7D6B26"/>
    <w:rsid w:val="7C9150AE"/>
    <w:rsid w:val="7F2A13E6"/>
    <w:rsid w:val="7F343489"/>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 w:hAnsi="仿宋" w:eastAsia="宋体" w:cs="Times New Roman"/>
      <w:kern w:val="0"/>
      <w:sz w:val="28"/>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Normal Indent"/>
    <w:basedOn w:val="1"/>
    <w:unhideWhenUsed/>
    <w:qFormat/>
    <w:uiPriority w:val="99"/>
    <w:pPr>
      <w:ind w:firstLine="420" w:firstLineChars="200"/>
    </w:pPr>
  </w:style>
  <w:style w:type="paragraph" w:styleId="3">
    <w:name w:val="Body Text"/>
    <w:basedOn w:val="1"/>
    <w:semiHidden/>
    <w:qFormat/>
    <w:uiPriority w:val="0"/>
    <w:rPr>
      <w:rFonts w:ascii="仿宋" w:hAnsi="仿宋" w:eastAsia="仿宋" w:cs="仿宋"/>
      <w:sz w:val="31"/>
      <w:szCs w:val="31"/>
      <w:lang w:val="en-US" w:eastAsia="en-US" w:bidi="ar-SA"/>
    </w:rPr>
  </w:style>
  <w:style w:type="paragraph" w:styleId="4">
    <w:name w:val="Normal (Web)"/>
    <w:basedOn w:val="1"/>
    <w:autoRedefine/>
    <w:qFormat/>
    <w:uiPriority w:val="0"/>
    <w:pPr>
      <w:spacing w:before="100" w:beforeAutospacing="1" w:after="100" w:afterAutospacing="1"/>
      <w:ind w:left="0" w:right="0"/>
      <w:jc w:val="left"/>
    </w:pPr>
    <w:rPr>
      <w:kern w:val="0"/>
      <w:sz w:val="24"/>
      <w:lang w:val="en-US" w:eastAsia="zh-CN" w:bidi="ar"/>
    </w:rPr>
  </w:style>
  <w:style w:type="paragraph" w:customStyle="1" w:styleId="7">
    <w:name w:val="BodyText"/>
    <w:basedOn w:val="1"/>
    <w:next w:val="8"/>
    <w:autoRedefine/>
    <w:qFormat/>
    <w:uiPriority w:val="0"/>
    <w:pPr>
      <w:textAlignment w:val="baseline"/>
    </w:pPr>
    <w:rPr>
      <w:rFonts w:ascii="仿宋_GB2312" w:hAnsi="仿宋_GB2312" w:eastAsia="仿宋_GB2312"/>
      <w:sz w:val="32"/>
      <w:szCs w:val="32"/>
      <w:lang w:val="zh-CN" w:bidi="zh-CN"/>
    </w:rPr>
  </w:style>
  <w:style w:type="paragraph" w:customStyle="1" w:styleId="8">
    <w:name w:val="BodyText1I"/>
    <w:basedOn w:val="7"/>
    <w:autoRedefine/>
    <w:qFormat/>
    <w:uiPriority w:val="0"/>
    <w:pPr>
      <w:ind w:firstLine="420" w:firstLineChars="100"/>
      <w:textAlignment w:val="baseline"/>
    </w:pPr>
    <w:rPr>
      <w:rFonts w:ascii="仿宋_GB2312" w:hAnsi="仿宋_GB2312" w:eastAsia="仿宋_GB2312" w:cs="宋体"/>
      <w:sz w:val="32"/>
      <w:szCs w:val="32"/>
      <w:lang w:val="zh-CN" w:bidi="zh-CN"/>
    </w:rPr>
  </w:style>
  <w:style w:type="paragraph" w:customStyle="1" w:styleId="9">
    <w:name w:val="列出段落1"/>
    <w:basedOn w:val="1"/>
    <w:autoRedefine/>
    <w:qFormat/>
    <w:uiPriority w:val="34"/>
    <w:pPr>
      <w:ind w:firstLine="420" w:firstLineChars="200"/>
    </w:pPr>
  </w:style>
  <w:style w:type="paragraph" w:styleId="10">
    <w:name w:val="List Paragraph"/>
    <w:basedOn w:val="1"/>
    <w:autoRedefine/>
    <w:qFormat/>
    <w:uiPriority w:val="99"/>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4691</Words>
  <Characters>5120</Characters>
  <Lines>0</Lines>
  <Paragraphs>0</Paragraphs>
  <TotalTime>1</TotalTime>
  <ScaleCrop>false</ScaleCrop>
  <LinksUpToDate>false</LinksUpToDate>
  <CharactersWithSpaces>5419</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2024-03-18T08:36:00Z</dcterms:created>
  <dc:creator>Administrator</dc:creator>
  <cp:lastModifiedBy>肖曦</cp:lastModifiedBy>
  <dcterms:modified xsi:type="dcterms:W3CDTF">2024-07-15T07:11:10Z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D18B4315BF8244FAAD038F6AD0FC9F4E_13</vt:lpwstr>
  </property>
</Properties>
</file>