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0DA8E8">
      <w:pPr>
        <w:rPr>
          <w:rFonts w:hint="eastAsia" w:ascii="黑体" w:hAnsi="黑体" w:eastAsia="黑体" w:cs="黑体"/>
          <w:sz w:val="32"/>
          <w:szCs w:val="32"/>
          <w:highlight w:val="none"/>
          <w:lang w:val="en-US" w:eastAsia="zh-CN"/>
        </w:rPr>
      </w:pPr>
    </w:p>
    <w:p w14:paraId="4466F8A7">
      <w:pPr>
        <w:jc w:val="center"/>
        <w:rPr>
          <w:rFonts w:hint="default" w:ascii="Times New Roman" w:hAnsi="Times New Roman" w:eastAsia="方正小标宋_GBK" w:cs="Times New Roman"/>
          <w:sz w:val="52"/>
          <w:szCs w:val="52"/>
          <w:highlight w:val="none"/>
        </w:rPr>
      </w:pPr>
    </w:p>
    <w:p w14:paraId="330F1B5B">
      <w:pPr>
        <w:pStyle w:val="2"/>
        <w:ind w:left="0" w:leftChars="0" w:firstLine="0" w:firstLineChars="0"/>
        <w:jc w:val="center"/>
        <w:rPr>
          <w:rFonts w:hint="default" w:ascii="Times New Roman" w:hAnsi="Times New Roman" w:eastAsia="方正小标宋_GBK" w:cs="Times New Roman"/>
          <w:sz w:val="52"/>
          <w:szCs w:val="52"/>
          <w:highlight w:val="none"/>
        </w:rPr>
      </w:pPr>
    </w:p>
    <w:p w14:paraId="48A8D7FE">
      <w:pPr>
        <w:pStyle w:val="2"/>
        <w:ind w:left="0" w:leftChars="0" w:firstLine="0" w:firstLineChars="0"/>
        <w:jc w:val="center"/>
        <w:rPr>
          <w:rFonts w:hint="default" w:ascii="Times New Roman" w:hAnsi="Times New Roman" w:eastAsia="方正小标宋_GBK" w:cs="Times New Roman"/>
          <w:sz w:val="52"/>
          <w:szCs w:val="52"/>
          <w:highlight w:val="none"/>
        </w:rPr>
      </w:pPr>
    </w:p>
    <w:p w14:paraId="653DA571">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中共岳阳市君山区委宣传部</w:t>
      </w:r>
    </w:p>
    <w:p w14:paraId="128F3EDC">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整体支出绩效自评报告</w:t>
      </w:r>
    </w:p>
    <w:p w14:paraId="023AF630">
      <w:pPr>
        <w:jc w:val="center"/>
        <w:rPr>
          <w:rFonts w:hint="default" w:ascii="Times New Roman" w:hAnsi="Times New Roman" w:eastAsia="方正小标宋_GBK" w:cs="Times New Roman"/>
          <w:b/>
          <w:sz w:val="52"/>
          <w:szCs w:val="52"/>
          <w:highlight w:val="none"/>
        </w:rPr>
      </w:pPr>
    </w:p>
    <w:p w14:paraId="096626CB">
      <w:pPr>
        <w:jc w:val="center"/>
        <w:rPr>
          <w:rFonts w:hint="default" w:ascii="Times New Roman" w:hAnsi="Times New Roman" w:eastAsia="楷体_GB2312" w:cs="Times New Roman"/>
          <w:b/>
          <w:sz w:val="32"/>
          <w:szCs w:val="32"/>
          <w:highlight w:val="none"/>
        </w:rPr>
      </w:pPr>
    </w:p>
    <w:p w14:paraId="184BC4E0">
      <w:pPr>
        <w:jc w:val="center"/>
        <w:rPr>
          <w:rFonts w:hint="default" w:ascii="Times New Roman" w:hAnsi="Times New Roman" w:eastAsia="楷体_GB2312" w:cs="Times New Roman"/>
          <w:b/>
          <w:sz w:val="32"/>
          <w:szCs w:val="32"/>
          <w:highlight w:val="none"/>
        </w:rPr>
      </w:pPr>
    </w:p>
    <w:p w14:paraId="1E0BD3ED">
      <w:pPr>
        <w:jc w:val="center"/>
        <w:rPr>
          <w:rFonts w:hint="default" w:ascii="Times New Roman" w:hAnsi="Times New Roman" w:eastAsia="楷体_GB2312" w:cs="Times New Roman"/>
          <w:b/>
          <w:sz w:val="32"/>
          <w:szCs w:val="32"/>
          <w:highlight w:val="none"/>
        </w:rPr>
      </w:pPr>
    </w:p>
    <w:p w14:paraId="63BA3393">
      <w:pPr>
        <w:jc w:val="center"/>
        <w:rPr>
          <w:rFonts w:hint="default" w:ascii="Times New Roman" w:hAnsi="Times New Roman" w:eastAsia="楷体_GB2312" w:cs="Times New Roman"/>
          <w:b/>
          <w:sz w:val="32"/>
          <w:szCs w:val="32"/>
          <w:highlight w:val="none"/>
        </w:rPr>
      </w:pPr>
    </w:p>
    <w:p w14:paraId="6127321C">
      <w:pPr>
        <w:jc w:val="center"/>
        <w:rPr>
          <w:rFonts w:hint="default" w:ascii="Times New Roman" w:hAnsi="Times New Roman" w:eastAsia="楷体_GB2312" w:cs="Times New Roman"/>
          <w:b/>
          <w:sz w:val="32"/>
          <w:szCs w:val="32"/>
          <w:highlight w:val="none"/>
        </w:rPr>
      </w:pPr>
    </w:p>
    <w:p w14:paraId="708F2BE6">
      <w:pPr>
        <w:jc w:val="center"/>
        <w:rPr>
          <w:rFonts w:hint="default" w:ascii="Times New Roman" w:hAnsi="Times New Roman" w:eastAsia="楷体_GB2312" w:cs="Times New Roman"/>
          <w:b/>
          <w:sz w:val="32"/>
          <w:szCs w:val="32"/>
          <w:highlight w:val="none"/>
        </w:rPr>
      </w:pPr>
    </w:p>
    <w:p w14:paraId="7CF0BE2F">
      <w:pPr>
        <w:jc w:val="center"/>
        <w:rPr>
          <w:rFonts w:hint="default" w:ascii="Times New Roman" w:hAnsi="Times New Roman" w:eastAsia="黑体" w:cs="Times New Roman"/>
          <w:sz w:val="32"/>
          <w:szCs w:val="32"/>
          <w:highlight w:val="none"/>
        </w:rPr>
      </w:pPr>
    </w:p>
    <w:p w14:paraId="00FEE5F7">
      <w:pPr>
        <w:jc w:val="center"/>
        <w:rPr>
          <w:rFonts w:hint="default" w:ascii="Times New Roman" w:hAnsi="Times New Roman" w:eastAsia="黑体" w:cs="Times New Roman"/>
          <w:sz w:val="32"/>
          <w:szCs w:val="32"/>
          <w:highlight w:val="none"/>
        </w:rPr>
      </w:pPr>
    </w:p>
    <w:p w14:paraId="451CEF55">
      <w:pPr>
        <w:pStyle w:val="2"/>
        <w:rPr>
          <w:rFonts w:hint="default"/>
        </w:rPr>
      </w:pPr>
    </w:p>
    <w:p w14:paraId="6D1AC30D">
      <w:pPr>
        <w:spacing w:line="600" w:lineRule="exact"/>
        <w:jc w:val="center"/>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default" w:ascii="Times New Roman" w:hAnsi="Times New Roman" w:eastAsia="仿宋_GB2312" w:cs="Times New Roman"/>
          <w:sz w:val="32"/>
          <w:szCs w:val="32"/>
          <w:highlight w:val="none"/>
          <w:u w:val="single"/>
        </w:rPr>
        <w:t>（盖章）</w:t>
      </w:r>
    </w:p>
    <w:p w14:paraId="6DC92928">
      <w:pPr>
        <w:spacing w:line="600" w:lineRule="exact"/>
        <w:jc w:val="center"/>
        <w:rPr>
          <w:rFonts w:hint="default" w:ascii="Times New Roman" w:hAnsi="Times New Roman" w:eastAsia="楷体_GB2312" w:cs="Times New Roman"/>
          <w:sz w:val="32"/>
          <w:szCs w:val="32"/>
          <w:highlight w:val="none"/>
        </w:rPr>
      </w:pPr>
      <w:r>
        <w:rPr>
          <w:rFonts w:hint="eastAsia" w:ascii="Times New Roman" w:hAnsi="Times New Roman" w:eastAsia="楷体_GB2312" w:cs="Times New Roman"/>
          <w:sz w:val="32"/>
          <w:szCs w:val="32"/>
          <w:highlight w:val="none"/>
          <w:lang w:val="en-US" w:eastAsia="zh-CN"/>
        </w:rPr>
        <w:t>2024</w:t>
      </w:r>
      <w:r>
        <w:rPr>
          <w:rFonts w:hint="default" w:ascii="Times New Roman" w:hAnsi="Times New Roman" w:eastAsia="楷体_GB2312" w:cs="Times New Roman"/>
          <w:sz w:val="32"/>
          <w:szCs w:val="32"/>
          <w:highlight w:val="none"/>
        </w:rPr>
        <w:t>年</w:t>
      </w:r>
      <w:r>
        <w:rPr>
          <w:rFonts w:hint="eastAsia" w:ascii="Times New Roman" w:hAnsi="Times New Roman" w:eastAsia="楷体_GB2312" w:cs="Times New Roman"/>
          <w:sz w:val="32"/>
          <w:szCs w:val="32"/>
          <w:highlight w:val="none"/>
          <w:lang w:val="en-US" w:eastAsia="zh-CN"/>
        </w:rPr>
        <w:t>6</w:t>
      </w:r>
      <w:r>
        <w:rPr>
          <w:rFonts w:hint="default" w:ascii="Times New Roman" w:hAnsi="Times New Roman" w:eastAsia="楷体_GB2312" w:cs="Times New Roman"/>
          <w:sz w:val="32"/>
          <w:szCs w:val="32"/>
          <w:highlight w:val="none"/>
        </w:rPr>
        <w:t xml:space="preserve"> 月</w:t>
      </w:r>
      <w:r>
        <w:rPr>
          <w:rFonts w:hint="eastAsia" w:ascii="Times New Roman" w:hAnsi="Times New Roman" w:eastAsia="楷体_GB2312" w:cs="Times New Roman"/>
          <w:sz w:val="32"/>
          <w:szCs w:val="32"/>
          <w:highlight w:val="none"/>
          <w:lang w:val="en-US" w:eastAsia="zh-CN"/>
        </w:rPr>
        <w:t>25</w:t>
      </w:r>
      <w:r>
        <w:rPr>
          <w:rFonts w:hint="default" w:ascii="Times New Roman" w:hAnsi="Times New Roman" w:eastAsia="楷体_GB2312" w:cs="Times New Roman"/>
          <w:sz w:val="32"/>
          <w:szCs w:val="32"/>
          <w:highlight w:val="none"/>
        </w:rPr>
        <w:t>日</w:t>
      </w:r>
    </w:p>
    <w:p w14:paraId="316FD668">
      <w:pPr>
        <w:jc w:val="center"/>
        <w:rPr>
          <w:rFonts w:hint="eastAsia" w:ascii="方正小标宋简体" w:hAnsi="方正小标宋简体" w:eastAsia="方正小标宋简体" w:cs="方正小标宋简体"/>
          <w:sz w:val="44"/>
          <w:szCs w:val="44"/>
          <w:highlight w:val="none"/>
        </w:rPr>
      </w:pPr>
      <w:r>
        <w:rPr>
          <w:rFonts w:hint="default" w:ascii="Times New Roman" w:hAnsi="Times New Roman" w:eastAsia="仿宋_GB2312" w:cs="Times New Roman"/>
          <w:sz w:val="32"/>
          <w:szCs w:val="32"/>
          <w:highlight w:val="none"/>
        </w:rPr>
        <w:br w:type="page"/>
      </w: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中共岳阳市君山区委宣传部</w:t>
      </w:r>
    </w:p>
    <w:p w14:paraId="248E312D">
      <w:pPr>
        <w:jc w:val="center"/>
        <w:rPr>
          <w:rFonts w:hint="default" w:ascii="Times New Roman" w:hAnsi="Times New Roman" w:eastAsia="仿宋_GB2312" w:cs="Times New Roman"/>
          <w:sz w:val="32"/>
          <w:szCs w:val="32"/>
          <w:highlight w:val="none"/>
        </w:rPr>
      </w:pPr>
      <w:r>
        <w:rPr>
          <w:rFonts w:hint="eastAsia" w:ascii="方正小标宋简体" w:hAnsi="方正小标宋简体" w:eastAsia="方正小标宋简体" w:cs="方正小标宋简体"/>
          <w:sz w:val="44"/>
          <w:szCs w:val="44"/>
          <w:highlight w:val="none"/>
        </w:rPr>
        <w:t>整体支出绩效自评报告</w:t>
      </w:r>
    </w:p>
    <w:p w14:paraId="11C2C50C">
      <w:pPr>
        <w:keepNext w:val="0"/>
        <w:keepLines w:val="0"/>
        <w:pageBreakBefore w:val="0"/>
        <w:numPr>
          <w:ilvl w:val="0"/>
          <w:numId w:val="1"/>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w:t>
      </w:r>
      <w:r>
        <w:rPr>
          <w:rFonts w:hint="eastAsia" w:ascii="Times New Roman" w:hAnsi="Times New Roman" w:eastAsia="黑体" w:cs="Times New Roman"/>
          <w:sz w:val="32"/>
          <w:szCs w:val="32"/>
          <w:highlight w:val="none"/>
          <w:lang w:eastAsia="zh-CN"/>
        </w:rPr>
        <w:t>（单位）</w:t>
      </w:r>
      <w:r>
        <w:rPr>
          <w:rFonts w:hint="default" w:ascii="Times New Roman" w:hAnsi="Times New Roman" w:eastAsia="黑体" w:cs="Times New Roman"/>
          <w:sz w:val="32"/>
          <w:szCs w:val="32"/>
          <w:highlight w:val="none"/>
        </w:rPr>
        <w:t>基本情况</w:t>
      </w:r>
    </w:p>
    <w:p w14:paraId="64CF6836">
      <w:pPr>
        <w:keepNext w:val="0"/>
        <w:keepLines w:val="0"/>
        <w:pageBreakBefore w:val="0"/>
        <w:numPr>
          <w:ilvl w:val="0"/>
          <w:numId w:val="0"/>
        </w:numPr>
        <w:kinsoku/>
        <w:wordWrap/>
        <w:overflowPunct/>
        <w:topLinePunct w:val="0"/>
        <w:autoSpaceDE/>
        <w:autoSpaceDN/>
        <w:bidi w:val="0"/>
        <w:adjustRightInd/>
        <w:snapToGrid/>
        <w:spacing w:line="640" w:lineRule="exact"/>
        <w:jc w:val="both"/>
        <w:textAlignment w:val="auto"/>
        <w:rPr>
          <w:rFonts w:hint="eastAsia" w:ascii="Times New Roman" w:hAnsi="Times New Roman" w:eastAsia="楷体_GB2312" w:cs="Times New Roman"/>
          <w:b/>
          <w:kern w:val="0"/>
          <w:sz w:val="32"/>
          <w:szCs w:val="32"/>
          <w:highlight w:val="none"/>
          <w:lang w:val="en-US" w:eastAsia="zh-CN" w:bidi="ar-SA"/>
        </w:rPr>
      </w:pPr>
      <w:r>
        <w:rPr>
          <w:rFonts w:hint="eastAsia" w:ascii="Times New Roman" w:hAnsi="Times New Roman" w:eastAsia="黑体" w:cs="Times New Roman"/>
          <w:sz w:val="32"/>
          <w:szCs w:val="32"/>
          <w:highlight w:val="none"/>
          <w:lang w:eastAsia="zh-CN"/>
        </w:rPr>
        <w:t>　</w:t>
      </w:r>
      <w:r>
        <w:rPr>
          <w:rFonts w:hint="eastAsia" w:ascii="Times New Roman" w:hAnsi="Times New Roman" w:eastAsia="楷体_GB2312" w:cs="Times New Roman"/>
          <w:b/>
          <w:kern w:val="0"/>
          <w:sz w:val="32"/>
          <w:szCs w:val="32"/>
          <w:highlight w:val="none"/>
          <w:lang w:val="en-US" w:eastAsia="zh-CN" w:bidi="ar-SA"/>
        </w:rPr>
        <w:t>（一）单位基本情况</w:t>
      </w:r>
    </w:p>
    <w:p w14:paraId="7DD1B1C7">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color w:val="000000"/>
          <w:sz w:val="32"/>
          <w:szCs w:val="32"/>
          <w:highlight w:val="none"/>
        </w:rPr>
      </w:pPr>
      <w:r>
        <w:rPr>
          <w:rFonts w:hint="eastAsia" w:ascii="仿宋_GB2312" w:hAnsi="仿宋_GB2312" w:eastAsia="仿宋_GB2312" w:cs="仿宋_GB2312"/>
          <w:kern w:val="2"/>
          <w:sz w:val="32"/>
          <w:szCs w:val="32"/>
          <w:lang w:val="en-US" w:eastAsia="zh-CN" w:bidi="ar-SA"/>
        </w:rPr>
        <w:t>中共岳阳市君山区委宣传部（以下简称宣传部）主要负责全区宣传思想工作</w:t>
      </w:r>
      <w:r>
        <w:rPr>
          <w:rFonts w:hint="default" w:ascii="Times New Roman" w:hAnsi="Times New Roman" w:eastAsia="仿宋_GB2312" w:cs="Times New Roman"/>
          <w:color w:val="000000"/>
          <w:sz w:val="32"/>
          <w:szCs w:val="32"/>
          <w:highlight w:val="none"/>
        </w:rPr>
        <w:t>，</w:t>
      </w:r>
      <w:r>
        <w:rPr>
          <w:rFonts w:hint="eastAsia" w:ascii="Times New Roman" w:hAnsi="Times New Roman" w:eastAsia="仿宋_GB2312" w:cs="Times New Roman"/>
          <w:color w:val="000000"/>
          <w:sz w:val="32"/>
          <w:szCs w:val="32"/>
          <w:highlight w:val="none"/>
          <w:lang w:eastAsia="zh-CN"/>
        </w:rPr>
        <w:t>其职能职责为</w:t>
      </w:r>
      <w:r>
        <w:rPr>
          <w:rFonts w:hint="default" w:ascii="Times New Roman" w:hAnsi="Times New Roman" w:eastAsia="仿宋_GB2312" w:cs="Times New Roman"/>
          <w:color w:val="000000"/>
          <w:sz w:val="32"/>
          <w:szCs w:val="32"/>
          <w:highlight w:val="none"/>
        </w:rPr>
        <w:t>：</w:t>
      </w:r>
    </w:p>
    <w:p w14:paraId="767AB690">
      <w:pPr>
        <w:pStyle w:val="12"/>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1、制订全区宣传思想工作规划和措施，协调宣传系统各单位之间的关系。</w:t>
      </w:r>
    </w:p>
    <w:p w14:paraId="0A67510E">
      <w:pPr>
        <w:pStyle w:val="12"/>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2、负责指导全区理论学习、理论宣传工作。</w:t>
      </w:r>
    </w:p>
    <w:p w14:paraId="6B7ADE33">
      <w:pPr>
        <w:pStyle w:val="12"/>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3、负责引导社会舆论，指导、协调全区各新闻单位的工作。</w:t>
      </w:r>
    </w:p>
    <w:p w14:paraId="38EC3C3D">
      <w:pPr>
        <w:pStyle w:val="12"/>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4、负责从宏观上指导、协调全区文化艺术特别是精神产品的生产；</w:t>
      </w:r>
    </w:p>
    <w:p w14:paraId="5A895D32">
      <w:pPr>
        <w:pStyle w:val="12"/>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5、负责规划、部署全局性思想政治工作任务和群众性精神文明建设活动；配合组织部做好党员教育工作；</w:t>
      </w:r>
    </w:p>
    <w:p w14:paraId="25A95069">
      <w:pPr>
        <w:pStyle w:val="12"/>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6、负责全区企事业单位政工干部职称评定工作。</w:t>
      </w:r>
    </w:p>
    <w:p w14:paraId="04DDBA4B">
      <w:pPr>
        <w:pStyle w:val="12"/>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7、负责提出全区宣传思想文化事业发展的指导方针，。</w:t>
      </w:r>
    </w:p>
    <w:p w14:paraId="3BEC6612">
      <w:pPr>
        <w:pStyle w:val="12"/>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8、负责指导，协调互联网新闻宣传和配合政府有关部门指导和协调宣传系统的事业建设管理，引导本区网络舆论；</w:t>
      </w:r>
    </w:p>
    <w:p w14:paraId="5EA26190">
      <w:pPr>
        <w:pStyle w:val="12"/>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9、负责网络舆情安全、信息化工作。</w:t>
      </w:r>
    </w:p>
    <w:p w14:paraId="33BA5015">
      <w:pPr>
        <w:pStyle w:val="12"/>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10、负责新闻出版、版权管理、电影管理工作。</w:t>
      </w:r>
    </w:p>
    <w:p w14:paraId="2833F525">
      <w:pPr>
        <w:pStyle w:val="12"/>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11、承办区委交办的其他事项。</w:t>
      </w:r>
    </w:p>
    <w:p w14:paraId="06138EB3">
      <w:pPr>
        <w:pStyle w:val="12"/>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3" w:firstLineChars="200"/>
        <w:jc w:val="both"/>
        <w:textAlignment w:val="auto"/>
        <w:rPr>
          <w:rFonts w:hint="eastAsia" w:ascii="Times New Roman" w:hAnsi="Times New Roman" w:eastAsia="楷体_GB2312" w:cs="Times New Roman"/>
          <w:b/>
          <w:sz w:val="32"/>
          <w:szCs w:val="32"/>
          <w:highlight w:val="none"/>
          <w:lang w:eastAsia="zh-CN"/>
        </w:rPr>
      </w:pPr>
      <w:r>
        <w:rPr>
          <w:rFonts w:hint="eastAsia" w:ascii="Times New Roman" w:hAnsi="Times New Roman" w:eastAsia="楷体_GB2312" w:cs="Times New Roman"/>
          <w:b/>
          <w:sz w:val="32"/>
          <w:szCs w:val="32"/>
          <w:highlight w:val="none"/>
          <w:lang w:eastAsia="zh-CN"/>
        </w:rPr>
        <w:t>（二）机构设置与人员情况</w:t>
      </w:r>
    </w:p>
    <w:p w14:paraId="6EA5A56D">
      <w:pPr>
        <w:pStyle w:val="12"/>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宣传部内设机构分别是：办公室、理教股、新闻办、文明办4个股室和网络新闻信息服务中心。</w:t>
      </w:r>
    </w:p>
    <w:p w14:paraId="57423237">
      <w:pPr>
        <w:pStyle w:val="12"/>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jc w:val="both"/>
        <w:textAlignment w:val="auto"/>
        <w:rPr>
          <w:rFonts w:hint="eastAsia" w:ascii="Times New Roman" w:hAnsi="Times New Roman" w:eastAsia="仿宋_GB2312" w:cs="Times New Roman"/>
          <w:color w:val="000000"/>
          <w:kern w:val="0"/>
          <w:sz w:val="32"/>
          <w:szCs w:val="32"/>
          <w:highlight w:val="none"/>
          <w:lang w:val="en-US" w:eastAsia="zh-CN" w:bidi="ar-SA"/>
        </w:rPr>
      </w:pPr>
      <w:r>
        <w:rPr>
          <w:rFonts w:hint="eastAsia" w:ascii="Times New Roman" w:hAnsi="Times New Roman" w:eastAsia="仿宋_GB2312" w:cs="Times New Roman"/>
          <w:color w:val="000000"/>
          <w:kern w:val="0"/>
          <w:sz w:val="32"/>
          <w:szCs w:val="32"/>
          <w:highlight w:val="none"/>
          <w:lang w:val="en-US" w:eastAsia="zh-CN" w:bidi="ar-SA"/>
        </w:rPr>
        <w:t>2023</w:t>
      </w:r>
      <w:r>
        <w:rPr>
          <w:rFonts w:hint="default" w:ascii="Times New Roman" w:hAnsi="Times New Roman" w:eastAsia="仿宋_GB2312" w:cs="Times New Roman"/>
          <w:color w:val="000000"/>
          <w:kern w:val="0"/>
          <w:sz w:val="32"/>
          <w:szCs w:val="32"/>
          <w:highlight w:val="none"/>
          <w:lang w:val="en-US" w:eastAsia="zh-CN" w:bidi="ar-SA"/>
        </w:rPr>
        <w:t>年末</w:t>
      </w:r>
      <w:r>
        <w:rPr>
          <w:rFonts w:hint="eastAsia" w:ascii="Times New Roman" w:hAnsi="Times New Roman" w:eastAsia="仿宋_GB2312" w:cs="Times New Roman"/>
          <w:color w:val="000000"/>
          <w:kern w:val="0"/>
          <w:sz w:val="32"/>
          <w:szCs w:val="32"/>
          <w:highlight w:val="none"/>
          <w:lang w:val="en-US" w:eastAsia="zh-CN" w:bidi="ar-SA"/>
        </w:rPr>
        <w:t>区委宣传部编制15人，现</w:t>
      </w:r>
      <w:r>
        <w:rPr>
          <w:rFonts w:hint="eastAsia" w:ascii="仿宋_GB2312" w:hAnsi="仿宋_GB2312" w:eastAsia="仿宋_GB2312" w:cs="仿宋_GB2312"/>
          <w:kern w:val="2"/>
          <w:sz w:val="32"/>
          <w:szCs w:val="32"/>
          <w:lang w:val="en-US" w:eastAsia="zh-CN" w:bidi="ar-SA"/>
        </w:rPr>
        <w:t>在职人员</w:t>
      </w:r>
      <w:r>
        <w:rPr>
          <w:rFonts w:hint="eastAsia" w:ascii="Times New Roman" w:hAnsi="Times New Roman" w:eastAsia="仿宋_GB2312" w:cs="Times New Roman"/>
          <w:color w:val="000000"/>
          <w:kern w:val="0"/>
          <w:sz w:val="32"/>
          <w:szCs w:val="32"/>
          <w:highlight w:val="none"/>
          <w:lang w:val="en-US" w:eastAsia="zh-CN" w:bidi="ar-SA"/>
        </w:rPr>
        <w:t>14人，其中：在职7人，非参公事业人员7人。</w:t>
      </w:r>
    </w:p>
    <w:p w14:paraId="26D2BFF0">
      <w:pPr>
        <w:pStyle w:val="12"/>
        <w:keepNext w:val="0"/>
        <w:keepLines w:val="0"/>
        <w:pageBreakBefore w:val="0"/>
        <w:widowControl/>
        <w:numPr>
          <w:ilvl w:val="0"/>
          <w:numId w:val="2"/>
        </w:numPr>
        <w:kinsoku/>
        <w:wordWrap/>
        <w:overflowPunct/>
        <w:topLinePunct w:val="0"/>
        <w:autoSpaceDE/>
        <w:autoSpaceDN/>
        <w:bidi w:val="0"/>
        <w:adjustRightInd/>
        <w:snapToGrid/>
        <w:spacing w:line="640" w:lineRule="exact"/>
        <w:ind w:firstLine="643" w:firstLineChars="200"/>
        <w:jc w:val="both"/>
        <w:textAlignment w:val="auto"/>
        <w:rPr>
          <w:rFonts w:hint="eastAsia" w:ascii="Times New Roman" w:hAnsi="Times New Roman" w:eastAsia="楷体_GB2312" w:cs="Times New Roman"/>
          <w:b/>
          <w:sz w:val="32"/>
          <w:szCs w:val="32"/>
          <w:highlight w:val="none"/>
          <w:lang w:val="en-US" w:eastAsia="zh-CN"/>
        </w:rPr>
      </w:pPr>
      <w:r>
        <w:rPr>
          <w:rFonts w:hint="eastAsia" w:ascii="Times New Roman" w:hAnsi="Times New Roman" w:eastAsia="楷体_GB2312" w:cs="Times New Roman"/>
          <w:b/>
          <w:sz w:val="32"/>
          <w:szCs w:val="32"/>
          <w:highlight w:val="none"/>
          <w:lang w:val="en-US" w:eastAsia="zh-CN"/>
        </w:rPr>
        <w:t>单位绩效目标</w:t>
      </w:r>
    </w:p>
    <w:p w14:paraId="40A77EC5">
      <w:pPr>
        <w:pStyle w:val="13"/>
        <w:spacing w:line="580" w:lineRule="exact"/>
        <w:ind w:firstLine="640" w:firstLineChars="20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整体支出绩效目标：积极推行预算绩效管理，强化对资金使用情况的预算约束和监督，围绕部门职责，在理论教育上稳打稳扎，在文明建设上常抓常新，在宣传舆论报道上有力有效，在难点工作上突显创新性作为，全力保障党委决策部署落地见效，提高财政资金使用绩效，促进管理效能提升。</w:t>
      </w:r>
    </w:p>
    <w:p w14:paraId="08D77FD0">
      <w:pPr>
        <w:pStyle w:val="13"/>
        <w:spacing w:line="580" w:lineRule="exact"/>
        <w:ind w:firstLine="640" w:firstLineChars="20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项目支出绩效目标：凝聚群众、引导群众、以文化人、成风化俗，牢牢把握传播新思想、引领新风尚的工作目标四个定位：不断提升努力巴中心建设成为学习传播科学理论的大众平台、加强基层思想政治工作的坚强阵地、培养时代新人和弘扬时代新风的精神家园、开展中国特色志愿服务的广阔舞台五项工作：学习实践科学理论、宣传宣讲党的政策、培育践行主流价值、丰富活跃文化生活、持续深入移风易俗五项工作内容;三个到位：阵地资源整合到位、体制机制健全到位、服务群众精准到位;六大能力：动员能力、整合能力、引导能力、服务能力、创新能力、保障能力。</w:t>
      </w:r>
    </w:p>
    <w:p w14:paraId="228C61E7">
      <w:pPr>
        <w:pStyle w:val="12"/>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14:paraId="7B2DF1F1">
      <w:pPr>
        <w:pStyle w:val="12"/>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楷体_GB2312" w:cs="Times New Roman"/>
          <w:b/>
          <w:sz w:val="32"/>
          <w:szCs w:val="32"/>
          <w:highlight w:val="none"/>
        </w:rPr>
      </w:pPr>
      <w:r>
        <w:rPr>
          <w:rFonts w:hint="eastAsia" w:ascii="仿宋_GB2312" w:hAnsi="仿宋_GB2312" w:eastAsia="仿宋_GB2312" w:cs="仿宋_GB2312"/>
          <w:kern w:val="2"/>
          <w:sz w:val="32"/>
          <w:szCs w:val="32"/>
          <w:lang w:val="en-US" w:eastAsia="zh-CN" w:bidi="ar-SA"/>
        </w:rPr>
        <w:t>2023年</w:t>
      </w:r>
      <w:r>
        <w:rPr>
          <w:rFonts w:hint="default" w:ascii="仿宋_GB2312" w:hAnsi="仿宋_GB2312" w:eastAsia="仿宋_GB2312" w:cs="仿宋_GB2312"/>
          <w:kern w:val="2"/>
          <w:sz w:val="32"/>
          <w:szCs w:val="32"/>
          <w:lang w:val="en-US" w:eastAsia="zh-CN" w:bidi="ar-SA"/>
        </w:rPr>
        <w:t>全年</w:t>
      </w:r>
      <w:r>
        <w:rPr>
          <w:rFonts w:hint="eastAsia" w:ascii="仿宋_GB2312" w:hAnsi="仿宋_GB2312" w:eastAsia="仿宋_GB2312" w:cs="仿宋_GB2312"/>
          <w:kern w:val="2"/>
          <w:sz w:val="32"/>
          <w:szCs w:val="32"/>
          <w:lang w:val="en-US" w:eastAsia="zh-CN" w:bidi="ar-SA"/>
        </w:rPr>
        <w:t>预算资金894.47</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其中：</w:t>
      </w:r>
      <w:r>
        <w:rPr>
          <w:rFonts w:hint="default" w:ascii="仿宋_GB2312" w:hAnsi="仿宋_GB2312" w:eastAsia="仿宋_GB2312" w:cs="仿宋_GB2312"/>
          <w:kern w:val="2"/>
          <w:sz w:val="32"/>
          <w:szCs w:val="32"/>
          <w:lang w:val="en-US" w:eastAsia="zh-CN" w:bidi="ar-SA"/>
        </w:rPr>
        <w:t>基本支出</w:t>
      </w:r>
      <w:r>
        <w:rPr>
          <w:rFonts w:hint="eastAsia" w:ascii="仿宋_GB2312" w:hAnsi="仿宋_GB2312" w:eastAsia="仿宋_GB2312" w:cs="仿宋_GB2312"/>
          <w:kern w:val="2"/>
          <w:sz w:val="32"/>
          <w:szCs w:val="32"/>
          <w:lang w:val="en-US" w:eastAsia="zh-CN" w:bidi="ar-SA"/>
        </w:rPr>
        <w:t>329.47</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项目支出565</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。全年实际支出894.47</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其中：</w:t>
      </w:r>
      <w:r>
        <w:rPr>
          <w:rFonts w:hint="default" w:ascii="仿宋_GB2312" w:hAnsi="仿宋_GB2312" w:eastAsia="仿宋_GB2312" w:cs="仿宋_GB2312"/>
          <w:kern w:val="2"/>
          <w:sz w:val="32"/>
          <w:szCs w:val="32"/>
          <w:lang w:val="en-US" w:eastAsia="zh-CN" w:bidi="ar-SA"/>
        </w:rPr>
        <w:t>基本支出</w:t>
      </w:r>
      <w:r>
        <w:rPr>
          <w:rFonts w:hint="eastAsia" w:ascii="仿宋_GB2312" w:hAnsi="仿宋_GB2312" w:eastAsia="仿宋_GB2312" w:cs="仿宋_GB2312"/>
          <w:kern w:val="2"/>
          <w:sz w:val="32"/>
          <w:szCs w:val="32"/>
          <w:lang w:val="en-US" w:eastAsia="zh-CN" w:bidi="ar-SA"/>
        </w:rPr>
        <w:t>329.47</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项目支出565</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。预算执行率100%。</w:t>
      </w:r>
    </w:p>
    <w:p w14:paraId="5339DAED">
      <w:pPr>
        <w:pStyle w:val="12"/>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（一）基本支出情况</w:t>
      </w:r>
    </w:p>
    <w:p w14:paraId="5A0E7A6A">
      <w:pPr>
        <w:pStyle w:val="12"/>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宣传部2023年</w:t>
      </w:r>
      <w:r>
        <w:rPr>
          <w:rFonts w:hint="default" w:ascii="仿宋_GB2312" w:hAnsi="仿宋_GB2312" w:eastAsia="仿宋_GB2312" w:cs="仿宋_GB2312"/>
          <w:kern w:val="2"/>
          <w:sz w:val="32"/>
          <w:szCs w:val="32"/>
          <w:lang w:val="en-US" w:eastAsia="zh-CN" w:bidi="ar-SA"/>
        </w:rPr>
        <w:t>全年基本支出</w:t>
      </w:r>
      <w:r>
        <w:rPr>
          <w:rFonts w:hint="eastAsia" w:ascii="仿宋_GB2312" w:hAnsi="仿宋_GB2312" w:eastAsia="仿宋_GB2312" w:cs="仿宋_GB2312"/>
          <w:kern w:val="2"/>
          <w:sz w:val="32"/>
          <w:szCs w:val="32"/>
          <w:lang w:val="en-US" w:eastAsia="zh-CN" w:bidi="ar-SA"/>
        </w:rPr>
        <w:t>329.47</w:t>
      </w:r>
      <w:r>
        <w:rPr>
          <w:rFonts w:hint="default" w:ascii="仿宋_GB2312" w:hAnsi="仿宋_GB2312" w:eastAsia="仿宋_GB2312" w:cs="仿宋_GB2312"/>
          <w:kern w:val="2"/>
          <w:sz w:val="32"/>
          <w:szCs w:val="32"/>
          <w:lang w:val="en-US" w:eastAsia="zh-CN" w:bidi="ar-SA"/>
        </w:rPr>
        <w:t>万元，其中人员经费283</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92万元，公用经费45</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5</w:t>
      </w:r>
      <w:r>
        <w:rPr>
          <w:rFonts w:hint="eastAsia" w:ascii="仿宋_GB2312" w:hAnsi="仿宋_GB2312" w:eastAsia="仿宋_GB2312" w:cs="仿宋_GB2312"/>
          <w:kern w:val="2"/>
          <w:sz w:val="32"/>
          <w:szCs w:val="32"/>
          <w:lang w:val="en-US" w:eastAsia="zh-CN" w:bidi="ar-SA"/>
        </w:rPr>
        <w:t>5</w:t>
      </w:r>
      <w:r>
        <w:rPr>
          <w:rFonts w:hint="default" w:ascii="仿宋_GB2312" w:hAnsi="仿宋_GB2312" w:eastAsia="仿宋_GB2312" w:cs="仿宋_GB2312"/>
          <w:kern w:val="2"/>
          <w:sz w:val="32"/>
          <w:szCs w:val="32"/>
          <w:lang w:val="en-US" w:eastAsia="zh-CN" w:bidi="ar-SA"/>
        </w:rPr>
        <w:t>万元。</w:t>
      </w:r>
    </w:p>
    <w:p w14:paraId="5FD4E21A">
      <w:pPr>
        <w:pStyle w:val="12"/>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基本支出主要是指为保障单位机构正常运转、完成日常工作任务而发生的各项支出，包括用于基本工资、绩效工资、津贴补贴、社会保障缴费等人员经费，办公费、印刷费、水电费、差旅费、公务接待费、维修（护）费等日常公用经费，以及离退休费用等其他对个人和家庭的补助支出。</w:t>
      </w:r>
    </w:p>
    <w:p w14:paraId="49A3454D">
      <w:pPr>
        <w:pStyle w:val="12"/>
        <w:keepNext w:val="0"/>
        <w:keepLines w:val="0"/>
        <w:pageBreakBefore w:val="0"/>
        <w:widowControl/>
        <w:numPr>
          <w:ilvl w:val="0"/>
          <w:numId w:val="3"/>
        </w:numPr>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项目支出情况</w:t>
      </w:r>
    </w:p>
    <w:p w14:paraId="760E4659">
      <w:pPr>
        <w:pStyle w:val="12"/>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eastAsia" w:ascii="Times New Roman" w:hAnsi="Times New Roman" w:eastAsia="楷体_GB2312" w:cs="Times New Roman"/>
          <w:b/>
          <w:sz w:val="32"/>
          <w:szCs w:val="32"/>
          <w:highlight w:val="yellow"/>
          <w:lang w:eastAsia="zh-CN"/>
        </w:rPr>
      </w:pPr>
      <w:r>
        <w:rPr>
          <w:rFonts w:hint="eastAsia" w:ascii="Times New Roman" w:hAnsi="Times New Roman" w:eastAsia="楷体_GB2312" w:cs="Times New Roman"/>
          <w:b/>
          <w:sz w:val="32"/>
          <w:szCs w:val="32"/>
          <w:highlight w:val="none"/>
          <w:lang w:eastAsia="zh-CN"/>
        </w:rPr>
        <w:t>　</w:t>
      </w:r>
      <w:r>
        <w:rPr>
          <w:rFonts w:hint="eastAsia" w:ascii="仿宋_GB2312" w:hAnsi="仿宋_GB2312" w:eastAsia="仿宋_GB2312" w:cs="仿宋_GB2312"/>
          <w:kern w:val="2"/>
          <w:sz w:val="32"/>
          <w:szCs w:val="32"/>
          <w:lang w:val="en-US" w:eastAsia="zh-CN" w:bidi="ar-SA"/>
        </w:rPr>
        <w:t>　2023年</w:t>
      </w:r>
      <w:r>
        <w:rPr>
          <w:rFonts w:hint="default" w:ascii="仿宋_GB2312" w:hAnsi="仿宋_GB2312" w:eastAsia="仿宋_GB2312" w:cs="仿宋_GB2312"/>
          <w:kern w:val="2"/>
          <w:sz w:val="32"/>
          <w:szCs w:val="32"/>
          <w:lang w:val="en-US" w:eastAsia="zh-CN" w:bidi="ar-SA"/>
        </w:rPr>
        <w:t>，</w:t>
      </w:r>
      <w:r>
        <w:rPr>
          <w:rFonts w:hint="eastAsia" w:ascii="仿宋_GB2312" w:hAnsi="仿宋_GB2312" w:eastAsia="仿宋_GB2312" w:cs="仿宋_GB2312"/>
          <w:kern w:val="2"/>
          <w:sz w:val="32"/>
          <w:szCs w:val="32"/>
          <w:lang w:val="en-US" w:eastAsia="zh-CN" w:bidi="ar-SA"/>
        </w:rPr>
        <w:t>宣传部</w:t>
      </w:r>
      <w:r>
        <w:rPr>
          <w:rFonts w:hint="default" w:ascii="仿宋_GB2312" w:hAnsi="仿宋_GB2312" w:eastAsia="仿宋_GB2312" w:cs="仿宋_GB2312"/>
          <w:kern w:val="2"/>
          <w:sz w:val="32"/>
          <w:szCs w:val="32"/>
          <w:lang w:val="en-US" w:eastAsia="zh-CN" w:bidi="ar-SA"/>
        </w:rPr>
        <w:t>全年</w:t>
      </w:r>
      <w:r>
        <w:rPr>
          <w:rFonts w:hint="eastAsia" w:ascii="仿宋_GB2312" w:hAnsi="仿宋_GB2312" w:eastAsia="仿宋_GB2312" w:cs="仿宋_GB2312"/>
          <w:kern w:val="2"/>
          <w:sz w:val="32"/>
          <w:szCs w:val="32"/>
          <w:lang w:val="en-US" w:eastAsia="zh-CN" w:bidi="ar-SA"/>
        </w:rPr>
        <w:t>项目支出565</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，主要是本部门为完成特定工作任务或事业发展目标而发生的</w:t>
      </w:r>
      <w:r>
        <w:rPr>
          <w:rFonts w:hint="eastAsia" w:ascii="仿宋_GB2312" w:hAnsi="仿宋_GB2312" w:eastAsia="仿宋_GB2312" w:cs="仿宋_GB2312"/>
          <w:color w:val="000000"/>
          <w:kern w:val="2"/>
          <w:sz w:val="32"/>
          <w:szCs w:val="32"/>
          <w:shd w:val="clear" w:color="auto" w:fill="FFFFFF"/>
          <w:lang w:val="en-US" w:eastAsia="zh-CN" w:bidi="ar-SA"/>
        </w:rPr>
        <w:t>支出，包括有关事业发展专项、专项业务费、基本建设支出等，含宣传专项、业务工作经费等项目支出。</w:t>
      </w:r>
    </w:p>
    <w:p w14:paraId="546C8D9A">
      <w:pPr>
        <w:pStyle w:val="12"/>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政府性基金预算支出情况</w:t>
      </w:r>
    </w:p>
    <w:p w14:paraId="1FE57FFB">
      <w:pPr>
        <w:pStyle w:val="12"/>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eastAsia" w:ascii="仿宋_GB2312" w:hAnsi="仿宋_GB2312" w:eastAsia="仿宋_GB2312" w:cs="仿宋_GB2312"/>
          <w:kern w:val="2"/>
          <w:sz w:val="32"/>
          <w:szCs w:val="32"/>
          <w:lang w:val="en-US" w:eastAsia="zh-CN" w:bidi="ar-SA"/>
        </w:rPr>
        <w:t>宣传部无此项支出。</w:t>
      </w:r>
    </w:p>
    <w:p w14:paraId="0649CE10">
      <w:pPr>
        <w:pStyle w:val="12"/>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国有资本经营预算支出情况</w:t>
      </w:r>
    </w:p>
    <w:p w14:paraId="0FCAD81E">
      <w:pPr>
        <w:pStyle w:val="12"/>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eastAsia" w:ascii="仿宋_GB2312" w:hAnsi="仿宋_GB2312" w:eastAsia="仿宋_GB2312" w:cs="仿宋_GB2312"/>
          <w:kern w:val="2"/>
          <w:sz w:val="32"/>
          <w:szCs w:val="32"/>
          <w:lang w:val="en-US" w:eastAsia="zh-CN" w:bidi="ar-SA"/>
        </w:rPr>
        <w:t>宣传部无此项支出。</w:t>
      </w:r>
    </w:p>
    <w:p w14:paraId="49844C0D">
      <w:pPr>
        <w:pStyle w:val="12"/>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社会保险基金预算支出情况</w:t>
      </w:r>
    </w:p>
    <w:p w14:paraId="35CE7902">
      <w:pPr>
        <w:pStyle w:val="12"/>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eastAsia" w:ascii="仿宋_GB2312" w:hAnsi="仿宋_GB2312" w:eastAsia="仿宋_GB2312" w:cs="仿宋_GB2312"/>
          <w:kern w:val="2"/>
          <w:sz w:val="32"/>
          <w:szCs w:val="32"/>
          <w:lang w:val="en-US" w:eastAsia="zh-CN" w:bidi="ar-SA"/>
        </w:rPr>
        <w:t>宣传部无此项支出。</w:t>
      </w:r>
    </w:p>
    <w:p w14:paraId="5578EF34">
      <w:pPr>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部门整体支出绩效情况</w:t>
      </w:r>
    </w:p>
    <w:p w14:paraId="47E1A0C7">
      <w:pPr>
        <w:pStyle w:val="12"/>
        <w:keepNext w:val="0"/>
        <w:keepLines w:val="0"/>
        <w:pageBreakBefore w:val="0"/>
        <w:widowControl/>
        <w:kinsoku/>
        <w:wordWrap/>
        <w:overflowPunct/>
        <w:topLinePunct w:val="0"/>
        <w:autoSpaceDE/>
        <w:autoSpaceDN/>
        <w:bidi w:val="0"/>
        <w:adjustRightInd/>
        <w:snapToGrid/>
        <w:spacing w:line="640" w:lineRule="exact"/>
        <w:ind w:left="0" w:leftChars="0" w:firstLine="640" w:firstLineChars="0"/>
        <w:jc w:val="both"/>
        <w:textAlignment w:val="auto"/>
        <w:rPr>
          <w:rFonts w:hint="default"/>
        </w:rPr>
      </w:pPr>
      <w:r>
        <w:rPr>
          <w:rFonts w:hint="default" w:ascii="Times New Roman" w:hAnsi="Times New Roman" w:eastAsia="仿宋_GB2312" w:cs="Times New Roman"/>
          <w:color w:val="000000"/>
          <w:sz w:val="32"/>
          <w:szCs w:val="32"/>
          <w:highlight w:val="none"/>
        </w:rPr>
        <w:t>202</w:t>
      </w:r>
      <w:r>
        <w:rPr>
          <w:rFonts w:hint="eastAsia" w:ascii="Times New Roman" w:hAnsi="Times New Roman" w:eastAsia="仿宋_GB2312" w:cs="Times New Roman"/>
          <w:color w:val="000000"/>
          <w:sz w:val="32"/>
          <w:szCs w:val="32"/>
          <w:highlight w:val="none"/>
          <w:lang w:val="en-US" w:eastAsia="zh-CN"/>
        </w:rPr>
        <w:t>3</w:t>
      </w:r>
      <w:r>
        <w:rPr>
          <w:rFonts w:hint="default" w:ascii="Times New Roman" w:hAnsi="Times New Roman" w:eastAsia="仿宋_GB2312" w:cs="Times New Roman"/>
          <w:color w:val="000000"/>
          <w:sz w:val="32"/>
          <w:szCs w:val="32"/>
          <w:highlight w:val="none"/>
        </w:rPr>
        <w:t>年</w:t>
      </w:r>
      <w:r>
        <w:rPr>
          <w:rFonts w:hint="eastAsia" w:ascii="Times New Roman" w:hAnsi="Times New Roman" w:eastAsia="仿宋_GB2312" w:cs="Times New Roman"/>
          <w:color w:val="000000"/>
          <w:sz w:val="32"/>
          <w:szCs w:val="32"/>
          <w:highlight w:val="none"/>
          <w:lang w:eastAsia="zh-CN"/>
        </w:rPr>
        <w:t>，</w:t>
      </w:r>
      <w:r>
        <w:rPr>
          <w:rFonts w:hint="eastAsia" w:ascii="仿宋_GB2312" w:hAnsi="仿宋_GB2312" w:eastAsia="仿宋_GB2312" w:cs="仿宋_GB2312"/>
          <w:kern w:val="2"/>
          <w:sz w:val="32"/>
          <w:szCs w:val="32"/>
          <w:lang w:val="en-US" w:eastAsia="zh-CN" w:bidi="ar-SA"/>
        </w:rPr>
        <w:t>宣传部</w:t>
      </w:r>
      <w:r>
        <w:rPr>
          <w:rFonts w:hint="eastAsia" w:ascii="Times New Roman" w:hAnsi="Times New Roman" w:eastAsia="仿宋_GB2312" w:cs="Times New Roman"/>
          <w:color w:val="000000"/>
          <w:sz w:val="32"/>
          <w:szCs w:val="32"/>
          <w:highlight w:val="none"/>
          <w:lang w:eastAsia="zh-CN"/>
        </w:rPr>
        <w:t>严格执行预算，</w:t>
      </w:r>
      <w:r>
        <w:rPr>
          <w:rFonts w:hint="default" w:ascii="Times New Roman" w:hAnsi="Times New Roman" w:eastAsia="仿宋_GB2312" w:cs="Times New Roman"/>
          <w:color w:val="000000"/>
          <w:sz w:val="32"/>
          <w:szCs w:val="32"/>
          <w:highlight w:val="none"/>
        </w:rPr>
        <w:t>财务管理规范，各项工作任务全面完成，单位行政运行稳定有序</w:t>
      </w:r>
      <w:r>
        <w:rPr>
          <w:rFonts w:hint="eastAsia" w:ascii="Times New Roman" w:hAnsi="Times New Roman" w:eastAsia="仿宋_GB2312" w:cs="Times New Roman"/>
          <w:color w:val="000000"/>
          <w:sz w:val="32"/>
          <w:szCs w:val="32"/>
          <w:highlight w:val="none"/>
          <w:lang w:eastAsia="zh-CN"/>
        </w:rPr>
        <w:t>，</w:t>
      </w:r>
      <w:r>
        <w:rPr>
          <w:rFonts w:hint="eastAsia" w:ascii="仿宋_GB2312" w:hAnsi="仿宋_GB2312" w:eastAsia="仿宋_GB2312" w:cs="仿宋_GB2312"/>
          <w:kern w:val="2"/>
          <w:sz w:val="32"/>
          <w:szCs w:val="32"/>
          <w:lang w:val="en-US" w:eastAsia="zh-CN" w:bidi="ar-SA"/>
        </w:rPr>
        <w:t>部门整体支出绩效自评得分98分。</w:t>
      </w:r>
    </w:p>
    <w:p w14:paraId="2C3EC23E">
      <w:pPr>
        <w:keepNext w:val="0"/>
        <w:keepLines w:val="0"/>
        <w:pageBreakBefore w:val="0"/>
        <w:widowControl/>
        <w:numPr>
          <w:ilvl w:val="0"/>
          <w:numId w:val="4"/>
        </w:numPr>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仿宋_GB2312" w:cs="Times New Roman"/>
          <w:color w:val="000000"/>
          <w:sz w:val="32"/>
          <w:szCs w:val="32"/>
          <w:highlight w:val="none"/>
        </w:rPr>
      </w:pPr>
      <w:r>
        <w:rPr>
          <w:rFonts w:hint="eastAsia" w:ascii="仿宋_GB2312" w:hAnsi="仿宋_GB2312" w:eastAsia="仿宋_GB2312" w:cs="仿宋_GB2312"/>
          <w:kern w:val="2"/>
          <w:sz w:val="32"/>
          <w:szCs w:val="32"/>
          <w:lang w:val="en-US" w:eastAsia="zh-CN" w:bidi="ar-SA"/>
        </w:rPr>
        <w:t>预算财务管理方面</w:t>
      </w:r>
    </w:p>
    <w:p w14:paraId="4EF3DC53">
      <w:pPr>
        <w:pStyle w:val="12"/>
        <w:keepNext w:val="0"/>
        <w:keepLines w:val="0"/>
        <w:pageBreakBefore w:val="0"/>
        <w:widowControl/>
        <w:kinsoku/>
        <w:wordWrap/>
        <w:overflowPunct/>
        <w:topLinePunct w:val="0"/>
        <w:autoSpaceDE/>
        <w:autoSpaceDN/>
        <w:bidi w:val="0"/>
        <w:adjustRightInd/>
        <w:snapToGrid/>
        <w:spacing w:line="640" w:lineRule="exact"/>
        <w:ind w:left="0" w:leftChars="0" w:firstLine="640" w:firstLineChars="0"/>
        <w:jc w:val="both"/>
        <w:textAlignment w:val="auto"/>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202</w:t>
      </w:r>
      <w:r>
        <w:rPr>
          <w:rFonts w:hint="eastAsia" w:ascii="Times New Roman" w:hAnsi="Times New Roman" w:eastAsia="仿宋_GB2312" w:cs="Times New Roman"/>
          <w:color w:val="000000"/>
          <w:sz w:val="32"/>
          <w:szCs w:val="32"/>
          <w:highlight w:val="none"/>
          <w:lang w:val="en-US" w:eastAsia="zh-CN"/>
        </w:rPr>
        <w:t>3</w:t>
      </w:r>
      <w:r>
        <w:rPr>
          <w:rFonts w:hint="default" w:ascii="Times New Roman" w:hAnsi="Times New Roman" w:eastAsia="仿宋_GB2312" w:cs="Times New Roman"/>
          <w:color w:val="000000"/>
          <w:sz w:val="32"/>
          <w:szCs w:val="32"/>
          <w:highlight w:val="none"/>
        </w:rPr>
        <w:t>年</w:t>
      </w:r>
      <w:r>
        <w:rPr>
          <w:rFonts w:hint="eastAsia" w:ascii="Times New Roman" w:hAnsi="Times New Roman" w:eastAsia="仿宋_GB2312" w:cs="Times New Roman"/>
          <w:color w:val="000000"/>
          <w:sz w:val="32"/>
          <w:szCs w:val="32"/>
          <w:highlight w:val="none"/>
          <w:lang w:eastAsia="zh-CN"/>
        </w:rPr>
        <w:t>，</w:t>
      </w:r>
      <w:r>
        <w:rPr>
          <w:rFonts w:hint="eastAsia" w:ascii="仿宋_GB2312" w:hAnsi="仿宋_GB2312" w:eastAsia="仿宋_GB2312" w:cs="仿宋_GB2312"/>
          <w:kern w:val="2"/>
          <w:sz w:val="32"/>
          <w:szCs w:val="32"/>
          <w:lang w:val="en-US" w:eastAsia="zh-CN" w:bidi="ar-SA"/>
        </w:rPr>
        <w:t>宣传部</w:t>
      </w:r>
      <w:r>
        <w:rPr>
          <w:rFonts w:hint="default" w:ascii="Times New Roman" w:hAnsi="Times New Roman" w:eastAsia="仿宋_GB2312" w:cs="Times New Roman"/>
          <w:color w:val="000000"/>
          <w:sz w:val="32"/>
          <w:szCs w:val="32"/>
          <w:highlight w:val="none"/>
        </w:rPr>
        <w:t>严格遵守各项规章制度，严格执行经费审批制度、报销程序，加强了经费支出的监督管理；坚持经费预算科学化、精细化，执行控制规范化、责任化，监督检查常态化、同步化；资金使用没有截留、挪用、虚列支出、随意借用等情况；重大财务事项经由集体研究决策；专项资金做到专款专用；原始凭证的取得真实有效。部门预决算信息按规定内容，在规定的时限内予以公开。基础数据信息和会计信息资料真实、完整、准确。</w:t>
      </w:r>
    </w:p>
    <w:p w14:paraId="0534DD1B">
      <w:pPr>
        <w:pStyle w:val="4"/>
        <w:keepNext w:val="0"/>
        <w:keepLines w:val="0"/>
        <w:pageBreakBefore w:val="0"/>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仿宋_GB2312" w:cs="Times New Roman"/>
          <w:color w:val="000000"/>
          <w:kern w:val="0"/>
          <w:sz w:val="32"/>
          <w:szCs w:val="32"/>
          <w:lang w:val="en-US" w:eastAsia="zh-CN" w:bidi="ar-SA"/>
        </w:rPr>
      </w:pPr>
      <w:r>
        <w:rPr>
          <w:rFonts w:hint="eastAsia" w:ascii="仿宋_GB2312" w:hAnsi="仿宋_GB2312" w:eastAsia="仿宋_GB2312" w:cs="仿宋_GB2312"/>
          <w:kern w:val="44"/>
          <w:sz w:val="32"/>
          <w:szCs w:val="32"/>
          <w:lang w:val="en-US" w:eastAsia="zh-CN" w:bidi="ar"/>
        </w:rPr>
        <w:t>（二）履职产出效益方面</w:t>
      </w:r>
    </w:p>
    <w:p w14:paraId="1A35BBB7">
      <w:pPr>
        <w:pStyle w:val="12"/>
        <w:keepNext w:val="0"/>
        <w:keepLines w:val="0"/>
        <w:pageBreakBefore w:val="0"/>
        <w:widowControl/>
        <w:kinsoku/>
        <w:wordWrap/>
        <w:overflowPunct/>
        <w:topLinePunct w:val="0"/>
        <w:autoSpaceDE/>
        <w:autoSpaceDN/>
        <w:bidi w:val="0"/>
        <w:adjustRightInd/>
        <w:snapToGrid/>
        <w:spacing w:line="640" w:lineRule="exact"/>
        <w:ind w:left="0" w:leftChars="0" w:firstLine="640" w:firstLineChars="0"/>
        <w:jc w:val="both"/>
        <w:textAlignment w:val="auto"/>
        <w:rPr>
          <w:rFonts w:hint="eastAsia" w:ascii="Times New Roman" w:hAnsi="Times New Roman" w:eastAsia="仿宋_GB2312" w:cs="Times New Roman"/>
          <w:color w:val="000000"/>
          <w:sz w:val="32"/>
          <w:szCs w:val="32"/>
          <w:highlight w:val="none"/>
          <w:lang w:eastAsia="zh-CN"/>
        </w:rPr>
      </w:pPr>
      <w:r>
        <w:rPr>
          <w:rFonts w:hint="default" w:ascii="Times New Roman" w:hAnsi="Times New Roman" w:eastAsia="仿宋_GB2312" w:cs="Times New Roman"/>
          <w:color w:val="000000"/>
          <w:sz w:val="32"/>
          <w:szCs w:val="32"/>
          <w:highlight w:val="none"/>
        </w:rPr>
        <w:t>202</w:t>
      </w:r>
      <w:r>
        <w:rPr>
          <w:rFonts w:hint="eastAsia" w:ascii="Times New Roman" w:hAnsi="Times New Roman" w:eastAsia="仿宋_GB2312" w:cs="Times New Roman"/>
          <w:color w:val="000000"/>
          <w:sz w:val="32"/>
          <w:szCs w:val="32"/>
          <w:highlight w:val="none"/>
          <w:lang w:val="en-US" w:eastAsia="zh-CN"/>
        </w:rPr>
        <w:t>3</w:t>
      </w:r>
      <w:r>
        <w:rPr>
          <w:rFonts w:hint="default" w:ascii="Times New Roman" w:hAnsi="Times New Roman" w:eastAsia="仿宋_GB2312" w:cs="Times New Roman"/>
          <w:color w:val="000000"/>
          <w:sz w:val="32"/>
          <w:szCs w:val="32"/>
          <w:highlight w:val="none"/>
        </w:rPr>
        <w:t>年</w:t>
      </w:r>
      <w:r>
        <w:rPr>
          <w:rFonts w:hint="eastAsia" w:ascii="Times New Roman" w:hAnsi="Times New Roman" w:eastAsia="仿宋_GB2312" w:cs="Times New Roman"/>
          <w:color w:val="000000"/>
          <w:sz w:val="32"/>
          <w:szCs w:val="32"/>
          <w:highlight w:val="none"/>
          <w:lang w:eastAsia="zh-CN"/>
        </w:rPr>
        <w:t>，</w:t>
      </w:r>
      <w:r>
        <w:rPr>
          <w:rFonts w:hint="eastAsia" w:ascii="仿宋_GB2312" w:hAnsi="仿宋_GB2312" w:eastAsia="仿宋_GB2312" w:cs="仿宋_GB2312"/>
          <w:kern w:val="2"/>
          <w:sz w:val="32"/>
          <w:szCs w:val="32"/>
          <w:lang w:val="en-US" w:eastAsia="zh-CN" w:bidi="ar-SA"/>
        </w:rPr>
        <w:t>宣传部</w:t>
      </w:r>
      <w:r>
        <w:rPr>
          <w:rFonts w:hint="default" w:ascii="Times New Roman" w:hAnsi="Times New Roman" w:eastAsia="仿宋_GB2312" w:cs="Times New Roman"/>
          <w:color w:val="000000"/>
          <w:sz w:val="32"/>
          <w:szCs w:val="32"/>
          <w:highlight w:val="none"/>
        </w:rPr>
        <w:t>认真履行</w:t>
      </w:r>
      <w:r>
        <w:rPr>
          <w:rFonts w:hint="eastAsia" w:ascii="Times New Roman" w:hAnsi="Times New Roman" w:eastAsia="仿宋_GB2312" w:cs="Times New Roman"/>
          <w:color w:val="000000"/>
          <w:sz w:val="32"/>
          <w:szCs w:val="32"/>
          <w:highlight w:val="none"/>
          <w:lang w:eastAsia="zh-CN"/>
        </w:rPr>
        <w:t>部门职责</w:t>
      </w:r>
      <w:r>
        <w:rPr>
          <w:rFonts w:hint="default" w:ascii="Times New Roman" w:hAnsi="Times New Roman" w:eastAsia="仿宋_GB2312" w:cs="Times New Roman"/>
          <w:color w:val="000000"/>
          <w:sz w:val="32"/>
          <w:szCs w:val="32"/>
          <w:highlight w:val="none"/>
        </w:rPr>
        <w:t>，</w:t>
      </w:r>
      <w:r>
        <w:rPr>
          <w:rFonts w:hint="eastAsia" w:ascii="Times New Roman" w:hAnsi="Times New Roman" w:eastAsia="仿宋_GB2312" w:cs="Times New Roman"/>
          <w:color w:val="000000"/>
          <w:sz w:val="32"/>
          <w:szCs w:val="32"/>
          <w:highlight w:val="none"/>
          <w:lang w:eastAsia="zh-CN"/>
        </w:rPr>
        <w:t>履职情况如下：</w:t>
      </w:r>
    </w:p>
    <w:p w14:paraId="64818C7C">
      <w:pPr>
        <w:spacing w:line="580" w:lineRule="exact"/>
        <w:ind w:firstLine="640" w:firstLineChars="200"/>
        <w:rPr>
          <w:rFonts w:ascii="黑体" w:hAnsi="黑体" w:eastAsia="黑体"/>
          <w:color w:val="000000"/>
          <w:sz w:val="32"/>
          <w:szCs w:val="32"/>
        </w:rPr>
      </w:pPr>
      <w:r>
        <w:rPr>
          <w:rFonts w:hint="eastAsia" w:ascii="黑体" w:hAnsi="黑体" w:eastAsia="黑体"/>
          <w:color w:val="000000"/>
          <w:sz w:val="32"/>
          <w:szCs w:val="32"/>
          <w:lang w:val="en-US" w:eastAsia="zh-CN"/>
        </w:rPr>
        <w:t>1</w:t>
      </w:r>
      <w:r>
        <w:rPr>
          <w:rFonts w:hint="eastAsia" w:ascii="黑体" w:hAnsi="黑体" w:eastAsia="黑体"/>
          <w:color w:val="000000"/>
          <w:sz w:val="32"/>
          <w:szCs w:val="32"/>
        </w:rPr>
        <w:t>、顺应时代强举措，基础工作得到整体性提升</w:t>
      </w:r>
    </w:p>
    <w:p w14:paraId="32587A4D">
      <w:pPr>
        <w:spacing w:line="580" w:lineRule="exact"/>
        <w:ind w:firstLine="643" w:firstLineChars="200"/>
        <w:rPr>
          <w:rFonts w:ascii="仿宋_GB2312" w:hAnsi="仿宋" w:eastAsia="仿宋"/>
          <w:sz w:val="32"/>
          <w:szCs w:val="32"/>
        </w:rPr>
      </w:pPr>
      <w:r>
        <w:rPr>
          <w:rFonts w:hint="eastAsia" w:ascii="楷体_GB2312" w:hAnsi="楷体" w:eastAsia="楷体_GB2312"/>
          <w:b/>
          <w:sz w:val="32"/>
          <w:szCs w:val="32"/>
          <w:lang w:eastAsia="zh-CN"/>
        </w:rPr>
        <w:t>（</w:t>
      </w:r>
      <w:r>
        <w:rPr>
          <w:rFonts w:hint="eastAsia" w:ascii="楷体_GB2312" w:hAnsi="楷体" w:eastAsia="楷体_GB2312"/>
          <w:b/>
          <w:sz w:val="32"/>
          <w:szCs w:val="32"/>
          <w:lang w:val="en-US" w:eastAsia="zh-CN"/>
        </w:rPr>
        <w:t>1</w:t>
      </w:r>
      <w:r>
        <w:rPr>
          <w:rFonts w:hint="eastAsia" w:ascii="楷体_GB2312" w:hAnsi="楷体" w:eastAsia="楷体_GB2312"/>
          <w:b/>
          <w:sz w:val="32"/>
          <w:szCs w:val="32"/>
          <w:lang w:eastAsia="zh-CN"/>
        </w:rPr>
        <w:t>）</w:t>
      </w:r>
      <w:r>
        <w:rPr>
          <w:rFonts w:hint="eastAsia" w:ascii="楷体_GB2312" w:hAnsi="楷体" w:eastAsia="楷体_GB2312"/>
          <w:b/>
          <w:sz w:val="32"/>
          <w:szCs w:val="32"/>
        </w:rPr>
        <w:t>健全机制，夯实责任。</w:t>
      </w:r>
      <w:r>
        <w:rPr>
          <w:rFonts w:hint="eastAsia" w:ascii="仿宋_GB2312" w:hAnsi="仿宋" w:eastAsia="仿宋_GB2312"/>
          <w:b/>
          <w:sz w:val="32"/>
          <w:szCs w:val="32"/>
        </w:rPr>
        <w:t>一是落实党委意识形态工作责任制。</w:t>
      </w:r>
      <w:r>
        <w:rPr>
          <w:rFonts w:hint="eastAsia" w:ascii="仿宋_GB2312" w:hAnsi="仿宋" w:eastAsia="仿宋_GB2312"/>
          <w:sz w:val="32"/>
          <w:szCs w:val="32"/>
        </w:rPr>
        <w:t>区委常委会先后2次专题研究全区意识形态工作，4次专题学习习近平总书记关于意识形态、精神文明建设、网络信息、文化建设等方面的讲话精神和重要论述；在全区宣传思想工作会上传达学习全国、全省、全市宣传部长会议精神及市委网信工作会议精神，层层传导压力、落实责任；</w:t>
      </w:r>
      <w:r>
        <w:rPr>
          <w:rFonts w:hint="eastAsia" w:ascii="仿宋_GB2312" w:eastAsia="仿宋_GB2312"/>
          <w:sz w:val="32"/>
          <w:szCs w:val="32"/>
        </w:rPr>
        <w:t>协调区纪委监委,制定《关于建立健全区委巡察机构与区委宣传部工作协调协作机制的意见（试行）》，进一步推动意识形态工作责任制落实。</w:t>
      </w:r>
      <w:r>
        <w:rPr>
          <w:rFonts w:hint="eastAsia" w:ascii="仿宋_GB2312" w:hAnsi="仿宋" w:eastAsia="仿宋_GB2312"/>
          <w:sz w:val="32"/>
          <w:szCs w:val="32"/>
        </w:rPr>
        <w:t>常委部长带队深入乡镇督导意识形态责任落实、文明城市建设、文化建设等方面的工作，各线分管副部长开展专项督查</w:t>
      </w:r>
      <w:r>
        <w:rPr>
          <w:rFonts w:hint="eastAsia" w:ascii="仿宋_GB2312" w:eastAsia="仿宋_GB2312"/>
          <w:sz w:val="32"/>
          <w:szCs w:val="32"/>
        </w:rPr>
        <w:t>并下发督查通报，督查结果作为</w:t>
      </w:r>
      <w:r>
        <w:rPr>
          <w:rFonts w:hint="eastAsia" w:ascii="仿宋_GB2312" w:hAnsi="仿宋" w:eastAsia="仿宋_GB2312"/>
          <w:sz w:val="32"/>
          <w:szCs w:val="32"/>
        </w:rPr>
        <w:t>区委绩效考核</w:t>
      </w:r>
      <w:r>
        <w:rPr>
          <w:rFonts w:hint="eastAsia" w:ascii="仿宋_GB2312" w:eastAsia="仿宋_GB2312"/>
          <w:sz w:val="32"/>
          <w:szCs w:val="32"/>
        </w:rPr>
        <w:t>意识形态工作评分依据</w:t>
      </w:r>
      <w:r>
        <w:rPr>
          <w:rFonts w:hint="eastAsia" w:ascii="仿宋_GB2312" w:hAnsi="仿宋" w:eastAsia="仿宋_GB2312"/>
          <w:sz w:val="32"/>
          <w:szCs w:val="32"/>
        </w:rPr>
        <w:t>。</w:t>
      </w:r>
      <w:r>
        <w:rPr>
          <w:rFonts w:hint="eastAsia" w:ascii="仿宋_GB2312" w:hAnsi="仿宋" w:eastAsia="仿宋_GB2312"/>
          <w:b/>
          <w:sz w:val="32"/>
          <w:szCs w:val="32"/>
        </w:rPr>
        <w:t>二是健全文明实践活动开展机制。</w:t>
      </w:r>
      <w:r>
        <w:rPr>
          <w:rFonts w:hint="eastAsia" w:ascii="仿宋_GB2312" w:hAnsi="仿宋_GB2312" w:eastAsia="仿宋_GB2312" w:cs="仿宋_GB2312"/>
          <w:sz w:val="32"/>
          <w:szCs w:val="32"/>
        </w:rPr>
        <w:t>制定《君山区评选表彰道德模范实施管理办法》《君山区道德模范、身边好人经常性联系机制》,对全区21名道德模范、身边好人建立数据库，实行动态管理。</w:t>
      </w:r>
      <w:r>
        <w:rPr>
          <w:rFonts w:hint="eastAsia" w:ascii="仿宋_GB2312" w:hAnsi="仿宋_GB2312" w:eastAsia="仿宋_GB2312" w:cs="仿宋_GB2312"/>
          <w:bCs/>
          <w:sz w:val="32"/>
          <w:szCs w:val="32"/>
        </w:rPr>
        <w:t>在“学习雷锋”“传统节日”“志愿服务”等活动中探索、创新文明实践活动开展机制。</w:t>
      </w:r>
      <w:r>
        <w:rPr>
          <w:rFonts w:hint="eastAsia" w:ascii="仿宋_GB2312" w:hAnsi="仿宋_GB2312" w:eastAsia="仿宋_GB2312" w:cs="仿宋_GB2312"/>
          <w:sz w:val="32"/>
          <w:szCs w:val="32"/>
        </w:rPr>
        <w:t>区级领导带头到联点村（社区）开展学雷锋志愿服务活动形成常态，今年来共开展了60余次，“我们的节日”文明实践主题活动形成模式。</w:t>
      </w:r>
      <w:r>
        <w:rPr>
          <w:rFonts w:hint="eastAsia" w:ascii="仿宋_GB2312" w:hAnsi="仿宋" w:eastAsia="仿宋_GB2312"/>
          <w:b/>
          <w:sz w:val="32"/>
          <w:szCs w:val="32"/>
        </w:rPr>
        <w:t>三是严肃对待巡视巡察。</w:t>
      </w:r>
      <w:r>
        <w:rPr>
          <w:rFonts w:hint="eastAsia" w:ascii="仿宋_GB2312" w:hAnsi="仿宋_GB2312" w:eastAsia="仿宋_GB2312" w:cs="仿宋_GB2312"/>
          <w:bCs/>
          <w:sz w:val="32"/>
          <w:szCs w:val="32"/>
        </w:rPr>
        <w:t>高标准完成省委意识形态专项巡视整改工作</w:t>
      </w:r>
      <w:r>
        <w:rPr>
          <w:rFonts w:hint="eastAsia" w:ascii="仿宋_GB2312" w:hAnsi="仿宋_GB2312" w:eastAsia="仿宋_GB2312" w:cs="仿宋_GB2312"/>
          <w:sz w:val="32"/>
          <w:szCs w:val="32"/>
        </w:rPr>
        <w:t>，对落实意识形态工作责任制方面存在意识形态工作领导责任落实不够到位、理论武装存在一定差距等7个方面22个具体问题已全部整改完成。</w:t>
      </w:r>
      <w:r>
        <w:rPr>
          <w:rFonts w:hint="eastAsia" w:ascii="仿宋_GB2312" w:hAnsi="仿宋_GB2312" w:eastAsia="仿宋_GB2312" w:cs="仿宋_GB2312"/>
          <w:bCs/>
          <w:sz w:val="32"/>
          <w:szCs w:val="32"/>
        </w:rPr>
        <w:t>同时，</w:t>
      </w:r>
      <w:r>
        <w:rPr>
          <w:rFonts w:hint="eastAsia" w:ascii="仿宋_GB2312" w:hAnsi="仿宋" w:eastAsia="仿宋_GB2312"/>
          <w:sz w:val="32"/>
          <w:szCs w:val="32"/>
        </w:rPr>
        <w:t>协调</w:t>
      </w:r>
      <w:r>
        <w:rPr>
          <w:rFonts w:hint="eastAsia" w:ascii="仿宋_GB2312" w:eastAsia="仿宋_GB2312"/>
          <w:sz w:val="32"/>
          <w:szCs w:val="32"/>
        </w:rPr>
        <w:t>区委巡察工作领导小组在区委第三、四轮巡察中，重点巡察意识形态工作落实等情况，并将问题线索移交至区委宣传部，督促被巡察单位对照问题逐项整改。</w:t>
      </w:r>
    </w:p>
    <w:p w14:paraId="6829E581">
      <w:pPr>
        <w:spacing w:line="580" w:lineRule="exact"/>
        <w:ind w:firstLine="643" w:firstLineChars="200"/>
        <w:rPr>
          <w:rFonts w:ascii="仿宋_GB2312" w:hAnsi="仿宋" w:eastAsia="仿宋_GB2312"/>
          <w:sz w:val="32"/>
          <w:szCs w:val="32"/>
        </w:rPr>
      </w:pPr>
      <w:r>
        <w:rPr>
          <w:rFonts w:hint="eastAsia" w:ascii="楷体_GB2312" w:hAnsi="楷体" w:eastAsia="楷体_GB2312"/>
          <w:b/>
          <w:sz w:val="32"/>
          <w:szCs w:val="32"/>
          <w:lang w:eastAsia="zh-CN"/>
        </w:rPr>
        <w:t>（</w:t>
      </w:r>
      <w:r>
        <w:rPr>
          <w:rFonts w:hint="eastAsia" w:ascii="楷体_GB2312" w:hAnsi="楷体" w:eastAsia="楷体_GB2312"/>
          <w:b/>
          <w:sz w:val="32"/>
          <w:szCs w:val="32"/>
          <w:lang w:val="en-US" w:eastAsia="zh-CN"/>
        </w:rPr>
        <w:t>2</w:t>
      </w:r>
      <w:r>
        <w:rPr>
          <w:rFonts w:hint="eastAsia" w:ascii="楷体_GB2312" w:hAnsi="楷体" w:eastAsia="楷体_GB2312"/>
          <w:b/>
          <w:sz w:val="32"/>
          <w:szCs w:val="32"/>
          <w:lang w:eastAsia="zh-CN"/>
        </w:rPr>
        <w:t>）</w:t>
      </w:r>
      <w:r>
        <w:rPr>
          <w:rFonts w:hint="eastAsia" w:ascii="楷体_GB2312" w:hAnsi="楷体" w:eastAsia="楷体_GB2312"/>
          <w:b/>
          <w:sz w:val="32"/>
          <w:szCs w:val="32"/>
        </w:rPr>
        <w:t>管好阵地，强化队伍。</w:t>
      </w:r>
      <w:r>
        <w:rPr>
          <w:rFonts w:hint="eastAsia" w:ascii="仿宋_GB2312" w:hAnsi="楷体" w:eastAsia="仿宋_GB2312"/>
          <w:b/>
          <w:sz w:val="32"/>
          <w:szCs w:val="32"/>
        </w:rPr>
        <w:t>一是强化</w:t>
      </w:r>
      <w:r>
        <w:rPr>
          <w:rFonts w:hint="eastAsia" w:ascii="仿宋_GB2312" w:hAnsi="仿宋" w:eastAsia="仿宋_GB2312"/>
          <w:b/>
          <w:sz w:val="32"/>
          <w:szCs w:val="32"/>
        </w:rPr>
        <w:t>文化阵地管理。</w:t>
      </w:r>
      <w:r>
        <w:rPr>
          <w:rFonts w:hint="eastAsia" w:ascii="仿宋_GB2312" w:eastAsia="仿宋_GB2312"/>
          <w:sz w:val="32"/>
          <w:szCs w:val="32"/>
        </w:rPr>
        <w:t>积极与湖北监利、华容、云溪、屈原等地开展区域联防协作，就“扫黄打非”工作经验做法、重点难点问题进行沟通交流。强化校园周边文化市场专项治理。</w:t>
      </w:r>
      <w:r>
        <w:rPr>
          <w:rFonts w:hint="eastAsia" w:ascii="仿宋_GB2312" w:hAnsi="仿宋_GB2312" w:eastAsia="仿宋_GB2312" w:cs="仿宋_GB2312"/>
          <w:sz w:val="32"/>
          <w:szCs w:val="32"/>
        </w:rPr>
        <w:t>严格对照“扫黄打非”8个专项整治行动要求，</w:t>
      </w:r>
      <w:r>
        <w:rPr>
          <w:rFonts w:hint="eastAsia" w:ascii="仿宋_GB2312" w:eastAsia="仿宋_GB2312"/>
          <w:sz w:val="32"/>
          <w:szCs w:val="32"/>
        </w:rPr>
        <w:t>开展“利剑护蕾”“固边”“清源”“护苗”等专项整治，共出动600余人次，检查文旅经营场所223家，办理案件3件，其中网吧类1件、非法出版物1件、KTV类1件，全区社会文化环境持续净化。</w:t>
      </w:r>
      <w:r>
        <w:rPr>
          <w:rFonts w:hint="eastAsia" w:ascii="仿宋_GB2312" w:hAnsi="仿宋" w:eastAsia="仿宋_GB2312"/>
          <w:b/>
          <w:sz w:val="32"/>
          <w:szCs w:val="32"/>
        </w:rPr>
        <w:t>二是宣传阵地拓面提质。</w:t>
      </w:r>
      <w:r>
        <w:rPr>
          <w:rFonts w:hint="eastAsia" w:ascii="仿宋_GB2312" w:hAnsi="仿宋" w:eastAsia="仿宋_GB2312" w:cs="仿宋"/>
          <w:kern w:val="0"/>
          <w:sz w:val="32"/>
          <w:szCs w:val="32"/>
        </w:rPr>
        <w:t>办好君山手机报、</w:t>
      </w:r>
      <w:r>
        <w:rPr>
          <w:rFonts w:hint="eastAsia" w:ascii="仿宋_GB2312" w:hAnsi="仿宋" w:eastAsia="仿宋_GB2312"/>
          <w:sz w:val="32"/>
          <w:szCs w:val="32"/>
        </w:rPr>
        <w:t>“君山在线”官方微信、精致君山APP和广播“村村响”等区级媒体，</w:t>
      </w:r>
      <w:r>
        <w:rPr>
          <w:rFonts w:hint="eastAsia" w:ascii="仿宋_GB2312" w:eastAsia="仿宋_GB2312"/>
          <w:sz w:val="32"/>
          <w:szCs w:val="32"/>
        </w:rPr>
        <w:t>开设“习近平活动报道集”“习近平与‘一带一路’的故事”等专栏,使党的声音始终成为网络最强音。截止目前，发布原创报道889条，点击量达41万余次，阅读量达32万余次。</w:t>
      </w:r>
      <w:r>
        <w:rPr>
          <w:rFonts w:hint="eastAsia" w:ascii="仿宋_GB2312" w:hAnsi="仿宋" w:eastAsia="仿宋_GB2312"/>
          <w:sz w:val="32"/>
          <w:szCs w:val="32"/>
        </w:rPr>
        <w:t>积极与国家级报刊杂志社对接，在《中国新闻发布》、《</w:t>
      </w:r>
      <w:r>
        <w:rPr>
          <w:rFonts w:hint="eastAsia" w:ascii="仿宋" w:hAnsi="仿宋" w:eastAsia="仿宋" w:cs="仿宋"/>
          <w:sz w:val="32"/>
          <w:szCs w:val="32"/>
        </w:rPr>
        <w:t>人民日报（海外版）》</w:t>
      </w:r>
      <w:r>
        <w:rPr>
          <w:rFonts w:hint="eastAsia" w:ascii="仿宋_GB2312" w:hAnsi="仿宋" w:eastAsia="仿宋_GB2312"/>
          <w:sz w:val="32"/>
          <w:szCs w:val="32"/>
        </w:rPr>
        <w:t>等杂志宣传推介君山。出刊《君山文艺》《野荷文学》等文艺期刊5期,</w:t>
      </w:r>
      <w:r>
        <w:rPr>
          <w:rFonts w:hint="eastAsia" w:ascii="仿宋_GB2312" w:eastAsia="仿宋_GB2312"/>
          <w:sz w:val="32"/>
          <w:szCs w:val="32"/>
        </w:rPr>
        <w:t>开展“忆初心、感党恩、颂清廉”廉洁文艺作品征集活动，共征集作品48件，其中20件作品入选市展。</w:t>
      </w:r>
      <w:r>
        <w:rPr>
          <w:rFonts w:hint="eastAsia" w:ascii="仿宋_GB2312" w:hAnsi="仿宋" w:eastAsia="仿宋_GB2312"/>
          <w:sz w:val="32"/>
          <w:szCs w:val="32"/>
        </w:rPr>
        <w:t>完成</w:t>
      </w:r>
      <w:r>
        <w:rPr>
          <w:rFonts w:ascii="仿宋_GB2312" w:hAnsi="仿宋" w:eastAsia="仿宋_GB2312"/>
          <w:sz w:val="32"/>
          <w:szCs w:val="32"/>
        </w:rPr>
        <w:t>20</w:t>
      </w:r>
      <w:r>
        <w:rPr>
          <w:rFonts w:hint="eastAsia" w:ascii="仿宋_GB2312" w:hAnsi="仿宋" w:eastAsia="仿宋_GB2312"/>
          <w:sz w:val="32"/>
          <w:szCs w:val="32"/>
        </w:rPr>
        <w:t>23年党报党刊征订任务。</w:t>
      </w:r>
      <w:r>
        <w:rPr>
          <w:rFonts w:hint="eastAsia" w:ascii="仿宋_GB2312" w:hAnsi="仿宋" w:eastAsia="仿宋_GB2312"/>
          <w:b/>
          <w:sz w:val="32"/>
          <w:szCs w:val="32"/>
        </w:rPr>
        <w:t>三是队伍建设得到加强。</w:t>
      </w:r>
      <w:r>
        <w:rPr>
          <w:rFonts w:hint="eastAsia" w:ascii="仿宋_GB2312" w:hAnsi="仿宋" w:eastAsia="仿宋_GB2312"/>
          <w:sz w:val="32"/>
          <w:szCs w:val="32"/>
        </w:rPr>
        <w:t>区委调优配齐宣传部班子。通过举办培训班等形式建好网络文明传播、基层通讯员、基层“五老”微宣讲员等队伍，</w:t>
      </w:r>
      <w:r>
        <w:rPr>
          <w:rFonts w:hint="eastAsia" w:ascii="仿宋_GB2312" w:eastAsia="仿宋_GB2312"/>
          <w:sz w:val="32"/>
          <w:szCs w:val="32"/>
        </w:rPr>
        <w:t>宣传思想文化系统举办了4期习近平新时代中国特色社会主义思想读书会；举办意识形态工作业务专题培训班、宗教干部专题培训班，培训干部300余名。</w:t>
      </w:r>
      <w:r>
        <w:rPr>
          <w:rFonts w:hint="eastAsia" w:ascii="仿宋_GB2312" w:hAnsi="仿宋" w:eastAsia="仿宋_GB2312"/>
          <w:sz w:val="32"/>
          <w:szCs w:val="32"/>
        </w:rPr>
        <w:t>对区作协进行了换届。</w:t>
      </w:r>
    </w:p>
    <w:p w14:paraId="1700E189">
      <w:pPr>
        <w:pStyle w:val="13"/>
        <w:spacing w:line="580" w:lineRule="exact"/>
        <w:ind w:firstLine="640" w:firstLineChars="200"/>
        <w:rPr>
          <w:rFonts w:ascii="黑体" w:hAnsi="黑体" w:eastAsia="黑体"/>
          <w:color w:val="000000"/>
          <w:sz w:val="32"/>
          <w:szCs w:val="32"/>
        </w:rPr>
      </w:pPr>
      <w:r>
        <w:rPr>
          <w:rFonts w:hint="eastAsia" w:ascii="黑体" w:hAnsi="黑体" w:eastAsia="黑体"/>
          <w:color w:val="000000"/>
          <w:sz w:val="32"/>
          <w:szCs w:val="32"/>
          <w:lang w:val="en-US" w:eastAsia="zh-CN"/>
        </w:rPr>
        <w:t>2</w:t>
      </w:r>
      <w:r>
        <w:rPr>
          <w:rFonts w:hint="eastAsia" w:ascii="黑体" w:hAnsi="黑体" w:eastAsia="黑体"/>
          <w:color w:val="000000"/>
          <w:sz w:val="32"/>
          <w:szCs w:val="32"/>
        </w:rPr>
        <w:t>、服务大局敢担当，重点工作实现突破性发展</w:t>
      </w:r>
    </w:p>
    <w:p w14:paraId="3FF22C7A">
      <w:pPr>
        <w:spacing w:line="580" w:lineRule="exact"/>
        <w:ind w:firstLine="643" w:firstLineChars="200"/>
        <w:rPr>
          <w:rFonts w:ascii="仿宋_GB2312" w:eastAsia="仿宋_GB2312"/>
          <w:sz w:val="32"/>
          <w:szCs w:val="32"/>
        </w:rPr>
      </w:pPr>
      <w:r>
        <w:rPr>
          <w:rFonts w:hint="eastAsia" w:ascii="楷体_GB2312" w:hAnsi="楷体" w:eastAsia="楷体_GB2312"/>
          <w:b/>
          <w:sz w:val="32"/>
          <w:szCs w:val="32"/>
          <w:lang w:eastAsia="zh-CN"/>
        </w:rPr>
        <w:t>（</w:t>
      </w:r>
      <w:r>
        <w:rPr>
          <w:rFonts w:hint="eastAsia" w:ascii="楷体_GB2312" w:hAnsi="楷体" w:eastAsia="楷体_GB2312"/>
          <w:b/>
          <w:sz w:val="32"/>
          <w:szCs w:val="32"/>
          <w:lang w:val="en-US" w:eastAsia="zh-CN"/>
        </w:rPr>
        <w:t>1</w:t>
      </w:r>
      <w:r>
        <w:rPr>
          <w:rFonts w:hint="eastAsia" w:ascii="楷体_GB2312" w:hAnsi="楷体" w:eastAsia="楷体_GB2312"/>
          <w:b/>
          <w:sz w:val="32"/>
          <w:szCs w:val="32"/>
          <w:lang w:eastAsia="zh-CN"/>
        </w:rPr>
        <w:t>）</w:t>
      </w:r>
      <w:r>
        <w:rPr>
          <w:rFonts w:hint="eastAsia" w:ascii="楷体_GB2312" w:hAnsi="楷体" w:eastAsia="楷体_GB2312"/>
          <w:b/>
          <w:sz w:val="32"/>
          <w:szCs w:val="32"/>
        </w:rPr>
        <w:t>理论教育稳打稳扎。</w:t>
      </w:r>
      <w:r>
        <w:rPr>
          <w:rFonts w:hint="eastAsia" w:ascii="仿宋_GB2312" w:hAnsi="仿宋" w:eastAsia="仿宋_GB2312"/>
          <w:b/>
          <w:sz w:val="32"/>
          <w:szCs w:val="32"/>
        </w:rPr>
        <w:t>一是扎实推进中心组学习。</w:t>
      </w:r>
      <w:r>
        <w:rPr>
          <w:rFonts w:hint="eastAsia" w:ascii="仿宋_GB2312" w:eastAsia="仿宋_GB2312"/>
          <w:sz w:val="32"/>
          <w:szCs w:val="32"/>
        </w:rPr>
        <w:t>印发《君山区2023年党委（党组）理论学习中心组专题学习重点内容安排》，制定党委(党组)理论学习中心组学习列席旁听工作计划。组织区委理论学习中心组学习12次，“第一议题”学习 23 次。特别是结合第二批主题教育，区级领导带头学，全区各基层党组织扎实学，推动主题教育走深走实，落地见效。</w:t>
      </w:r>
      <w:r>
        <w:rPr>
          <w:rFonts w:hint="eastAsia" w:ascii="仿宋_GB2312" w:hAnsi="仿宋" w:eastAsia="仿宋_GB2312"/>
          <w:b/>
          <w:sz w:val="32"/>
          <w:szCs w:val="32"/>
        </w:rPr>
        <w:t>二是广泛开展基层理论宣讲。</w:t>
      </w:r>
      <w:r>
        <w:rPr>
          <w:rFonts w:hint="eastAsia" w:ascii="仿宋_GB2312" w:hAnsi="仿宋" w:eastAsia="仿宋_GB2312"/>
          <w:bCs/>
          <w:sz w:val="32"/>
          <w:szCs w:val="32"/>
        </w:rPr>
        <w:t>创新打造“与君说”理论宣讲品牌，</w:t>
      </w:r>
      <w:r>
        <w:rPr>
          <w:rFonts w:hint="eastAsia" w:ascii="仿宋_GB2312" w:eastAsia="仿宋_GB2312"/>
          <w:sz w:val="32"/>
          <w:szCs w:val="32"/>
        </w:rPr>
        <w:t>出台《打造“与君说”基层理论宣讲品牌实施方案》</w:t>
      </w:r>
      <w:r>
        <w:rPr>
          <w:rFonts w:hint="eastAsia" w:ascii="仿宋_GB2312" w:hAnsi="仿宋" w:eastAsia="仿宋_GB2312"/>
          <w:bCs/>
          <w:sz w:val="32"/>
          <w:szCs w:val="32"/>
        </w:rPr>
        <w:t>,广泛开展屋场恳谈会、现身说“理”、“文艺一枝花”等群众喜闻乐见的基层理论宣讲活动，并组织开展理论宣讲微视频大赛和经典诵读大会，广大干群反响热烈，收效良好。</w:t>
      </w:r>
      <w:r>
        <w:rPr>
          <w:rFonts w:hint="eastAsia" w:ascii="仿宋_GB2312" w:eastAsia="仿宋_GB2312"/>
          <w:sz w:val="32"/>
          <w:szCs w:val="32"/>
        </w:rPr>
        <w:t>建立10支理论宣讲小分队，组建100名党组织书记宣讲员，号召1000名基层理论宣讲志愿服务者理论宣讲队伍，在全区范围内组织开展“与君说”基层理论宣讲活动，</w:t>
      </w:r>
      <w:r>
        <w:rPr>
          <w:rFonts w:hint="eastAsia" w:ascii="仿宋_GB2312" w:hAnsi="仿宋" w:eastAsia="仿宋_GB2312"/>
          <w:bCs/>
          <w:sz w:val="32"/>
          <w:szCs w:val="32"/>
        </w:rPr>
        <w:t>共计开展各类宣讲活动300余场次，受众1.3万余人次。同时，</w:t>
      </w:r>
      <w:r>
        <w:rPr>
          <w:rFonts w:hint="eastAsia" w:ascii="仿宋_GB2312" w:hAnsi="仿宋" w:eastAsia="仿宋_GB2312"/>
          <w:sz w:val="32"/>
          <w:szCs w:val="32"/>
        </w:rPr>
        <w:t>充分利用“君山在线”广播“村村响”等媒体平台对习近平中国特色社会主义思想进行解读，拓宽理论传播渠道。</w:t>
      </w:r>
    </w:p>
    <w:p w14:paraId="4B538EB3">
      <w:pPr>
        <w:spacing w:line="580" w:lineRule="exact"/>
        <w:ind w:firstLine="643" w:firstLineChars="200"/>
        <w:rPr>
          <w:rFonts w:ascii="仿宋_GB2312" w:hAnsi="仿宋" w:eastAsia="仿宋_GB2312"/>
          <w:sz w:val="32"/>
          <w:szCs w:val="32"/>
        </w:rPr>
      </w:pPr>
      <w:r>
        <w:rPr>
          <w:rFonts w:hint="eastAsia" w:ascii="楷体_GB2312" w:eastAsia="楷体_GB2312"/>
          <w:b/>
          <w:sz w:val="32"/>
          <w:szCs w:val="32"/>
          <w:lang w:eastAsia="zh-CN"/>
        </w:rPr>
        <w:t>（</w:t>
      </w:r>
      <w:r>
        <w:rPr>
          <w:rFonts w:hint="eastAsia" w:ascii="楷体_GB2312" w:eastAsia="楷体_GB2312"/>
          <w:b/>
          <w:sz w:val="32"/>
          <w:szCs w:val="32"/>
          <w:lang w:val="en-US" w:eastAsia="zh-CN"/>
        </w:rPr>
        <w:t>2</w:t>
      </w:r>
      <w:r>
        <w:rPr>
          <w:rFonts w:hint="eastAsia" w:ascii="楷体_GB2312" w:eastAsia="楷体_GB2312"/>
          <w:b/>
          <w:sz w:val="32"/>
          <w:szCs w:val="32"/>
          <w:lang w:eastAsia="zh-CN"/>
        </w:rPr>
        <w:t>）</w:t>
      </w:r>
      <w:r>
        <w:rPr>
          <w:rFonts w:hint="eastAsia" w:ascii="楷体_GB2312" w:hAnsi="仿宋" w:eastAsia="楷体_GB2312"/>
          <w:b/>
          <w:sz w:val="32"/>
          <w:szCs w:val="32"/>
        </w:rPr>
        <w:t>文明建设常抓常新。</w:t>
      </w:r>
      <w:r>
        <w:rPr>
          <w:rFonts w:hint="eastAsia" w:ascii="仿宋_GB2312" w:hAnsi="仿宋" w:eastAsia="仿宋_GB2312"/>
          <w:b/>
          <w:sz w:val="32"/>
          <w:szCs w:val="32"/>
        </w:rPr>
        <w:t>一是文明城市建设持之以恒。</w:t>
      </w:r>
      <w:r>
        <w:rPr>
          <w:rFonts w:hint="eastAsia" w:ascii="仿宋_GB2312" w:hAnsi="仿宋_GB2312" w:eastAsia="仿宋_GB2312" w:cs="仿宋_GB2312"/>
          <w:color w:val="000000"/>
          <w:sz w:val="32"/>
          <w:szCs w:val="32"/>
        </w:rPr>
        <w:t>印发《君山区全面推进文明城市全域创建重点任务分解表》，明确全域创建重点工作任务，将责任划分到各镇（街道）及区直各有关单位，形成强大工作合力抓创建。</w:t>
      </w:r>
      <w:r>
        <w:rPr>
          <w:rFonts w:hint="eastAsia" w:ascii="仿宋_GB2312" w:hAnsi="仿宋" w:eastAsia="仿宋_GB2312"/>
          <w:sz w:val="32"/>
          <w:szCs w:val="32"/>
        </w:rPr>
        <w:t>坚持问题导向，集中整改存在的问题260多个。全区上下全力以赴做好城市文明程度指数模拟测评工作。</w:t>
      </w:r>
      <w:r>
        <w:rPr>
          <w:rFonts w:hint="eastAsia" w:ascii="仿宋_GB2312" w:hAnsi="仿宋_GB2312" w:eastAsia="仿宋_GB2312" w:cs="仿宋_GB2312"/>
          <w:color w:val="000000"/>
          <w:sz w:val="32"/>
          <w:szCs w:val="32"/>
        </w:rPr>
        <w:t>广兴洲镇（全国文明乡镇）和沿江村（省级文明村）顺利通过中央文明办网上资料抽测</w:t>
      </w:r>
      <w:r>
        <w:rPr>
          <w:rFonts w:hint="eastAsia" w:ascii="仿宋_GB2312" w:hAnsi="仿宋" w:eastAsia="仿宋_GB2312"/>
          <w:sz w:val="32"/>
          <w:szCs w:val="32"/>
        </w:rPr>
        <w:t>。</w:t>
      </w:r>
      <w:r>
        <w:rPr>
          <w:rFonts w:hint="eastAsia" w:ascii="仿宋_GB2312" w:hAnsi="仿宋" w:eastAsia="仿宋_GB2312"/>
          <w:b/>
          <w:sz w:val="32"/>
          <w:szCs w:val="32"/>
        </w:rPr>
        <w:t>二是群众性创建活动广泛开展。</w:t>
      </w:r>
      <w:r>
        <w:rPr>
          <w:rFonts w:hint="eastAsia" w:ascii="仿宋_GB2312" w:hAnsi="仿宋_GB2312" w:eastAsia="仿宋_GB2312" w:cs="仿宋_GB2312"/>
          <w:sz w:val="32"/>
          <w:szCs w:val="32"/>
        </w:rPr>
        <w:t>70余家区文明委成员单位、各类文明单位广泛招募5000余名志愿者开展“守护好一江碧水”“文明婚俗在身边”“文明劝导我先行”“净滩行动”等主题活动，受众4万余人次。</w:t>
      </w:r>
      <w:r>
        <w:rPr>
          <w:rFonts w:hint="eastAsia" w:ascii="仿宋_GB2312" w:hAnsi="仿宋" w:eastAsia="仿宋_GB2312"/>
          <w:sz w:val="32"/>
          <w:szCs w:val="32"/>
        </w:rPr>
        <w:t>17家市级文明村镇、社区、单位、校园申报创建文明单位。广泛开展植树造林、“小手牵大手”“四点半课堂”、道德模范巡回演讲等志愿服务活动。</w:t>
      </w:r>
      <w:r>
        <w:rPr>
          <w:rFonts w:hint="eastAsia" w:ascii="仿宋_GB2312" w:hAnsi="仿宋_GB2312" w:eastAsia="仿宋_GB2312" w:cs="仿宋_GB2312"/>
          <w:sz w:val="32"/>
          <w:szCs w:val="32"/>
        </w:rPr>
        <w:t>重点组织志愿者、老干部、退役军人、身边好人等力量组成75支移风易俗劝导队，开展敲门入户行动100余次，发放宣传册3000余份。组织区直单位开展了“守护好一江碧水” “四季同行·雷锋家乡学雷锋”等主题志愿服务活动1100余次，服务群众3万余人次。</w:t>
      </w:r>
      <w:r>
        <w:rPr>
          <w:rFonts w:hint="eastAsia" w:ascii="仿宋_GB2312" w:hAnsi="仿宋" w:eastAsia="仿宋_GB2312"/>
          <w:b/>
          <w:sz w:val="32"/>
          <w:szCs w:val="32"/>
        </w:rPr>
        <w:t>三是先进典型推选引领风尚。</w:t>
      </w:r>
      <w:r>
        <w:rPr>
          <w:rFonts w:hint="eastAsia" w:ascii="仿宋_GB2312" w:hAnsi="仿宋" w:eastAsia="仿宋_GB2312"/>
          <w:sz w:val="32"/>
          <w:szCs w:val="32"/>
        </w:rPr>
        <w:t>区税务局周志华入选敬业奉献类“岳阳好人”；许市镇中学张芷婧、柳林小学何鑫源入选“新时代岳阳好少年”；柳林洲街道新时代文明实践所、许市镇暖心“护学岗”安全“护花蕾”项目入选岳阳市“十佳”新时代文明实践所（站）项目。文明村占比70.2%，文明镇占比100%,全区届期内县级以上文明村镇数量达到年度目标任务。推选2023年岳阳市诚信经营企业、示范店、人物8家（人）；小爱社工入选第三期“四季同行·雷锋家乡学雷锋”志愿服务孵化项目；推选“守护好一江碧水”为全国文明实践精品项目展示交流活动项目。</w:t>
      </w:r>
    </w:p>
    <w:p w14:paraId="73916858">
      <w:pPr>
        <w:spacing w:line="580" w:lineRule="exact"/>
        <w:ind w:firstLine="640"/>
        <w:rPr>
          <w:rFonts w:ascii="仿宋_GB2312" w:hAnsi="仿宋" w:eastAsia="仿宋_GB2312" w:cs="仿宋"/>
          <w:sz w:val="32"/>
          <w:szCs w:val="32"/>
        </w:rPr>
      </w:pPr>
      <w:r>
        <w:rPr>
          <w:rFonts w:hint="eastAsia" w:ascii="楷体_GB2312" w:eastAsia="楷体_GB2312"/>
          <w:b/>
          <w:sz w:val="32"/>
          <w:szCs w:val="32"/>
          <w:lang w:eastAsia="zh-CN"/>
        </w:rPr>
        <w:t>（</w:t>
      </w:r>
      <w:r>
        <w:rPr>
          <w:rFonts w:hint="eastAsia" w:ascii="楷体_GB2312" w:eastAsia="楷体_GB2312"/>
          <w:b/>
          <w:sz w:val="32"/>
          <w:szCs w:val="32"/>
          <w:lang w:val="en-US" w:eastAsia="zh-CN"/>
        </w:rPr>
        <w:t>3</w:t>
      </w:r>
      <w:r>
        <w:rPr>
          <w:rFonts w:hint="eastAsia" w:ascii="楷体_GB2312" w:eastAsia="楷体_GB2312"/>
          <w:b/>
          <w:sz w:val="32"/>
          <w:szCs w:val="32"/>
          <w:lang w:eastAsia="zh-CN"/>
        </w:rPr>
        <w:t>）</w:t>
      </w:r>
      <w:r>
        <w:rPr>
          <w:rFonts w:hint="eastAsia" w:ascii="楷体_GB2312" w:hAnsi="仿宋" w:eastAsia="楷体_GB2312"/>
          <w:b/>
          <w:sz w:val="32"/>
          <w:szCs w:val="32"/>
        </w:rPr>
        <w:t>宣传舆论有力</w:t>
      </w:r>
      <w:r>
        <w:rPr>
          <w:rFonts w:hint="eastAsia" w:ascii="楷体_GB2312" w:hAnsi="楷体" w:eastAsia="楷体_GB2312"/>
          <w:b/>
          <w:sz w:val="32"/>
          <w:szCs w:val="32"/>
        </w:rPr>
        <w:t>有效</w:t>
      </w:r>
      <w:r>
        <w:rPr>
          <w:rFonts w:hint="eastAsia" w:ascii="楷体_GB2312" w:hAnsi="仿宋" w:eastAsia="楷体_GB2312"/>
          <w:b/>
          <w:sz w:val="32"/>
          <w:szCs w:val="32"/>
        </w:rPr>
        <w:t>。</w:t>
      </w:r>
      <w:r>
        <w:rPr>
          <w:rFonts w:hint="eastAsia" w:ascii="仿宋_GB2312" w:hAnsi="仿宋" w:eastAsia="仿宋_GB2312"/>
          <w:b/>
          <w:spacing w:val="-8"/>
          <w:sz w:val="32"/>
          <w:szCs w:val="32"/>
        </w:rPr>
        <w:t>一是做大对外宣传</w:t>
      </w:r>
      <w:r>
        <w:rPr>
          <w:rFonts w:hint="eastAsia" w:ascii="仿宋_GB2312" w:hAnsi="仿宋" w:eastAsia="仿宋_GB2312" w:cs="仿宋"/>
          <w:b/>
          <w:bCs/>
          <w:sz w:val="32"/>
          <w:szCs w:val="32"/>
        </w:rPr>
        <w:t>。</w:t>
      </w:r>
      <w:r>
        <w:rPr>
          <w:rFonts w:hint="eastAsia" w:ascii="仿宋_GB2312" w:hAnsi="仿宋_GB2312" w:eastAsia="仿宋_GB2312" w:cs="仿宋_GB2312"/>
          <w:sz w:val="32"/>
          <w:szCs w:val="32"/>
        </w:rPr>
        <w:t>全年在主流媒体共计上稿882篇，中央级媒体上稿共计125篇(人民日报头版1篇，人民日报海外版专版1篇，中国新闻发布专版1篇，农民日报6篇，央视新闻8篇，新华社23篇，中新社2篇，人民日报8篇，人民网15篇,学习强国60篇)。其中，新华社以《护一江碧水 展蝶变新姿——湖南推动长江生态保护新观察》为题详细介绍君山区生态环境、产业转型、开放格局迎来蝶变故事。人民网以《“与君说”让党的创新理论“飞入寻常百姓家”》为题讲述了我区打造“与君说”基层理论宣讲公共品牌，《人民日报》头版宣传了雷欣书记热议进一步推动长江经济带高质量发展。《护好一江碧水 建设精致君山》一文被“学习强国”评选为全国县级融媒优秀作品。</w:t>
      </w:r>
      <w:r>
        <w:rPr>
          <w:rFonts w:hint="eastAsia" w:ascii="仿宋_GB2312" w:hAnsi="仿宋" w:eastAsia="仿宋_GB2312" w:cs="仿宋"/>
          <w:b/>
          <w:bCs/>
          <w:sz w:val="32"/>
          <w:szCs w:val="32"/>
        </w:rPr>
        <w:t>二是做实对内宣传。</w:t>
      </w:r>
      <w:r>
        <w:rPr>
          <w:rFonts w:hint="eastAsia" w:ascii="仿宋_GB2312" w:hAnsi="仿宋" w:eastAsia="仿宋_GB2312" w:cs="仿宋"/>
          <w:sz w:val="32"/>
          <w:szCs w:val="32"/>
        </w:rPr>
        <w:t>树立精品意识，不断创新形式、丰富平台。</w:t>
      </w:r>
      <w:r>
        <w:rPr>
          <w:rFonts w:hint="eastAsia" w:ascii="仿宋_GB2312" w:hAnsi="仿宋_GB2312" w:eastAsia="仿宋_GB2312" w:cs="仿宋_GB2312"/>
          <w:sz w:val="32"/>
          <w:szCs w:val="32"/>
        </w:rPr>
        <w:t>微信公众号《君山在线》编发稿件295档1250篇。电视新闻《君山新闻》76档，播发稿件765条，开设了宣讲党的二十大、防范化解风险、安全生产、春耕备耕等内容的专栏；《君山融媒》播发短视频382篇，</w:t>
      </w:r>
      <w:r>
        <w:rPr>
          <w:rFonts w:hint="eastAsia" w:ascii="仿宋_GB2312" w:hAnsi="仿宋_GB2312" w:eastAsia="仿宋_GB2312" w:cs="仿宋_GB2312"/>
          <w:sz w:val="32"/>
          <w:szCs w:val="32"/>
          <w:lang w:eastAsia="zh-Hans"/>
        </w:rPr>
        <w:t>《来君山吧》《邂逅“醉”美花海》《一封春日来信》《金色君山 花漾江湖》等短视频的播放量超过两万</w:t>
      </w:r>
      <w:r>
        <w:rPr>
          <w:rFonts w:hint="eastAsia" w:ascii="仿宋_GB2312" w:hAnsi="仿宋_GB2312" w:eastAsia="仿宋_GB2312" w:cs="仿宋_GB2312"/>
          <w:sz w:val="32"/>
          <w:szCs w:val="32"/>
        </w:rPr>
        <w:t>。《精致君山APP》发布原创稿件1089条。广播“村村响”每天三档正常播出。</w:t>
      </w:r>
      <w:r>
        <w:rPr>
          <w:rFonts w:hint="eastAsia" w:ascii="仿宋_GB2312" w:hAnsi="仿宋" w:eastAsia="仿宋_GB2312" w:cs="仿宋"/>
          <w:b/>
          <w:bCs/>
          <w:sz w:val="32"/>
          <w:szCs w:val="32"/>
        </w:rPr>
        <w:t>三是加强网络监管。</w:t>
      </w:r>
      <w:r>
        <w:rPr>
          <w:rFonts w:hint="eastAsia" w:ascii="仿宋_GB2312" w:hAnsi="仿宋" w:eastAsia="仿宋_GB2312" w:cs="仿宋"/>
          <w:sz w:val="32"/>
          <w:szCs w:val="32"/>
        </w:rPr>
        <w:t>做到主动监测、提前研判、及时回复、妥善引导。截止目前，区网信办共印发舆情专报17期，向各相关单位出具网络舆情提示函19份。共向各乡镇和区直部门单位交办网络舆情115条，线上回复115条，处置率100%。妥善处置农垦群众群体性上访事件等重大敏感舆情。信息上报常抓不懈，坚持每天上报各类有害信息和属地舆情信息，累计上报政治类有害信息400条，属地舆情信息400条。</w:t>
      </w:r>
    </w:p>
    <w:p w14:paraId="3DB4E29B">
      <w:pPr>
        <w:pStyle w:val="13"/>
        <w:spacing w:line="580" w:lineRule="exact"/>
        <w:ind w:firstLine="640" w:firstLineChars="200"/>
        <w:rPr>
          <w:rFonts w:ascii="黑体" w:hAnsi="黑体" w:eastAsia="黑体"/>
          <w:sz w:val="32"/>
          <w:szCs w:val="32"/>
        </w:rPr>
      </w:pPr>
      <w:r>
        <w:rPr>
          <w:rFonts w:hint="eastAsia" w:ascii="黑体" w:hAnsi="黑体" w:eastAsia="黑体"/>
          <w:sz w:val="32"/>
          <w:szCs w:val="32"/>
          <w:lang w:val="en-US" w:eastAsia="zh-CN"/>
        </w:rPr>
        <w:t>3</w:t>
      </w:r>
      <w:r>
        <w:rPr>
          <w:rFonts w:hint="eastAsia" w:ascii="黑体" w:hAnsi="黑体" w:eastAsia="黑体"/>
          <w:sz w:val="32"/>
          <w:szCs w:val="32"/>
        </w:rPr>
        <w:t>、破立并举重实效，难点工作突显创新性作为</w:t>
      </w:r>
    </w:p>
    <w:p w14:paraId="47DC7280">
      <w:pPr>
        <w:pStyle w:val="12"/>
        <w:spacing w:line="580" w:lineRule="exact"/>
        <w:ind w:firstLine="630" w:firstLineChars="196"/>
        <w:rPr>
          <w:rFonts w:ascii="仿宋_GB2312" w:hAnsi="仿宋" w:eastAsia="仿宋_GB2312" w:cs="仿宋"/>
          <w:b/>
          <w:bCs/>
          <w:sz w:val="32"/>
          <w:szCs w:val="32"/>
        </w:rPr>
      </w:pPr>
      <w:r>
        <w:rPr>
          <w:rFonts w:hint="eastAsia" w:ascii="仿宋_GB2312" w:hAnsi="楷体" w:eastAsia="仿宋_GB2312"/>
          <w:b/>
          <w:sz w:val="32"/>
          <w:szCs w:val="32"/>
          <w:lang w:eastAsia="zh-CN"/>
        </w:rPr>
        <w:t>（</w:t>
      </w:r>
      <w:r>
        <w:rPr>
          <w:rFonts w:hint="eastAsia" w:ascii="仿宋_GB2312" w:hAnsi="楷体" w:eastAsia="仿宋_GB2312"/>
          <w:b/>
          <w:sz w:val="32"/>
          <w:szCs w:val="32"/>
          <w:lang w:val="en-US" w:eastAsia="zh-CN"/>
        </w:rPr>
        <w:t>1</w:t>
      </w:r>
      <w:r>
        <w:rPr>
          <w:rFonts w:hint="eastAsia" w:ascii="仿宋_GB2312" w:hAnsi="楷体" w:eastAsia="仿宋_GB2312"/>
          <w:b/>
          <w:sz w:val="32"/>
          <w:szCs w:val="32"/>
          <w:lang w:eastAsia="zh-CN"/>
        </w:rPr>
        <w:t>）</w:t>
      </w:r>
      <w:r>
        <w:rPr>
          <w:rFonts w:hint="eastAsia" w:ascii="楷体_GB2312" w:hAnsi="仿宋_GB2312" w:eastAsia="楷体_GB2312" w:cs="仿宋_GB2312"/>
          <w:b/>
          <w:bCs/>
          <w:color w:val="000000"/>
          <w:sz w:val="32"/>
          <w:szCs w:val="32"/>
        </w:rPr>
        <w:t>创新探索无物业小区管理模式。</w:t>
      </w:r>
      <w:r>
        <w:rPr>
          <w:rFonts w:hint="eastAsia" w:ascii="仿宋_GB2312" w:hAnsi="仿宋_GB2312" w:eastAsia="仿宋_GB2312" w:cs="仿宋_GB2312"/>
          <w:b/>
          <w:bCs/>
          <w:sz w:val="32"/>
          <w:szCs w:val="32"/>
        </w:rPr>
        <w:t>一是细化责任分解。</w:t>
      </w:r>
      <w:r>
        <w:rPr>
          <w:rFonts w:hint="eastAsia" w:ascii="仿宋_GB2312" w:hAnsi="仿宋_GB2312" w:eastAsia="仿宋_GB2312" w:cs="仿宋_GB2312"/>
          <w:sz w:val="32"/>
          <w:szCs w:val="32"/>
        </w:rPr>
        <w:t>召开动员会，建立健全无物业小区管理后盾帮扶机制，按照就近原则结对22个无物业小区，进行一对一帮扶。建立工作台账，登记问题清单，收集居民建议，并及时整改反馈。截止目前，登记问题110余个，已全部整改到位。</w:t>
      </w:r>
      <w:r>
        <w:rPr>
          <w:rFonts w:hint="eastAsia" w:ascii="仿宋_GB2312" w:hAnsi="仿宋_GB2312" w:eastAsia="仿宋_GB2312" w:cs="仿宋_GB2312"/>
          <w:b/>
          <w:bCs/>
          <w:sz w:val="32"/>
          <w:szCs w:val="32"/>
        </w:rPr>
        <w:t>二是探索管理机制。</w:t>
      </w:r>
      <w:r>
        <w:rPr>
          <w:rFonts w:hint="eastAsia" w:ascii="仿宋_GB2312" w:hAnsi="仿宋_GB2312" w:eastAsia="仿宋_GB2312" w:cs="仿宋_GB2312"/>
          <w:sz w:val="32"/>
          <w:szCs w:val="32"/>
        </w:rPr>
        <w:t>依托社区网格治理化模式，创新“党建+微自治”社会治理新模式，汇聚社区工作人员、基层党员、志愿者等多方力量，推动多方共治的管理机制落地见效。目前，已组建22支服务队伍，共100余人参加。</w:t>
      </w:r>
      <w:r>
        <w:rPr>
          <w:rFonts w:hint="eastAsia" w:ascii="仿宋_GB2312" w:hAnsi="仿宋_GB2312" w:eastAsia="仿宋_GB2312" w:cs="仿宋_GB2312"/>
          <w:b/>
          <w:bCs/>
          <w:sz w:val="32"/>
          <w:szCs w:val="32"/>
        </w:rPr>
        <w:t>三是集中调解纠纷。</w:t>
      </w:r>
      <w:r>
        <w:rPr>
          <w:rFonts w:hint="eastAsia" w:ascii="仿宋_GB2312" w:hAnsi="仿宋_GB2312" w:eastAsia="仿宋_GB2312" w:cs="仿宋_GB2312"/>
          <w:sz w:val="32"/>
          <w:szCs w:val="32"/>
        </w:rPr>
        <w:t>紧盯矛盾纠纷，着力开展问题大调研，组织调研活动30余次，登记群众诉求100余条，处理小区管理中问题矛盾60余个。积极探索建立小区管理、物业管理纠纷人民调解委员会，扎实开展纠纷调解工作。</w:t>
      </w:r>
    </w:p>
    <w:p w14:paraId="5DD2102B">
      <w:pPr>
        <w:widowControl/>
        <w:spacing w:line="580" w:lineRule="exact"/>
        <w:ind w:firstLine="643" w:firstLineChars="200"/>
        <w:jc w:val="left"/>
        <w:rPr>
          <w:rFonts w:ascii="仿宋_GB2312" w:hAnsi="仿宋" w:eastAsia="楷体_GB2312" w:cs="仿宋"/>
          <w:sz w:val="32"/>
          <w:szCs w:val="32"/>
        </w:rPr>
      </w:pPr>
      <w:r>
        <w:rPr>
          <w:rFonts w:hint="eastAsia" w:ascii="楷体_GB2312" w:hAnsi="楷体" w:eastAsia="楷体_GB2312"/>
          <w:b/>
          <w:sz w:val="32"/>
          <w:szCs w:val="32"/>
          <w:lang w:eastAsia="zh-CN"/>
        </w:rPr>
        <w:t>（</w:t>
      </w:r>
      <w:r>
        <w:rPr>
          <w:rFonts w:hint="eastAsia" w:ascii="楷体_GB2312" w:hAnsi="楷体" w:eastAsia="楷体_GB2312"/>
          <w:b/>
          <w:sz w:val="32"/>
          <w:szCs w:val="32"/>
          <w:lang w:val="en-US" w:eastAsia="zh-CN"/>
        </w:rPr>
        <w:t>2</w:t>
      </w:r>
      <w:r>
        <w:rPr>
          <w:rFonts w:hint="eastAsia" w:ascii="楷体_GB2312" w:hAnsi="楷体" w:eastAsia="楷体_GB2312"/>
          <w:b/>
          <w:sz w:val="32"/>
          <w:szCs w:val="32"/>
          <w:lang w:eastAsia="zh-CN"/>
        </w:rPr>
        <w:t>）</w:t>
      </w:r>
      <w:r>
        <w:rPr>
          <w:rFonts w:hint="eastAsia" w:ascii="楷体_GB2312" w:hAnsi="楷体" w:eastAsia="楷体_GB2312"/>
          <w:b/>
          <w:sz w:val="32"/>
          <w:szCs w:val="32"/>
        </w:rPr>
        <w:t>文旅融合发展获得新突破。</w:t>
      </w:r>
      <w:r>
        <w:rPr>
          <w:rFonts w:hint="eastAsia" w:ascii="仿宋_GB2312" w:eastAsia="仿宋_GB2312"/>
          <w:sz w:val="32"/>
          <w:szCs w:val="32"/>
        </w:rPr>
        <w:t>深度参与“4·25”五周年系列活动，全力打造新时代“守护好一江碧水”生态文明实践基地，成功举办了“</w:t>
      </w:r>
      <w:r>
        <w:rPr>
          <w:rFonts w:hint="eastAsia" w:ascii="仿宋_GB2312" w:hAnsi="仿宋_GB2312" w:eastAsia="仿宋_GB2312" w:cs="仿宋_GB2312"/>
          <w:sz w:val="32"/>
          <w:szCs w:val="32"/>
        </w:rPr>
        <w:t>守护好一江碧水”主题音乐会、</w:t>
      </w:r>
      <w:r>
        <w:rPr>
          <w:rFonts w:hint="eastAsia" w:ascii="仿宋_GB2312" w:eastAsia="仿宋_GB2312"/>
          <w:sz w:val="32"/>
          <w:szCs w:val="32"/>
        </w:rPr>
        <w:t>岳阳马拉松、中国户外休闲大会、中国野生荷花旅游文化节、中国休闲垂钓大赛、湖南省油菜花节君山分会场、江湖美食音乐露营节、君山丰收季等系列活动。江豚湾景区启动5A创建，江岳里渔村、濠河水上民宿、观鸟小镇等文旅项目加快建设，逸馨生态度假村和乡村之恋农庄获评五星级农庄，文旅产业恢复发展的势头强劲。</w:t>
      </w:r>
      <w:r>
        <w:rPr>
          <w:rFonts w:hint="eastAsia" w:ascii="仿宋_GB2312" w:hAnsi="仿宋_GB2312" w:eastAsia="仿宋_GB2312" w:cs="仿宋_GB2312"/>
          <w:bCs/>
          <w:color w:val="000000" w:themeColor="text1"/>
          <w:sz w:val="32"/>
          <w:szCs w:val="32"/>
          <w14:textFill>
            <w14:solidFill>
              <w14:schemeClr w14:val="tx1"/>
            </w14:solidFill>
          </w14:textFill>
        </w:rPr>
        <w:t>创新开展“四季村晚”活动，采取“政府搭台，村民唱戏”的形式，鼓励村民自编自导、自演自赏。</w:t>
      </w:r>
    </w:p>
    <w:p w14:paraId="69216E37">
      <w:pPr>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jc w:val="both"/>
        <w:textAlignment w:val="auto"/>
        <w:rPr>
          <w:rFonts w:hint="default" w:ascii="Times New Roman" w:hAnsi="Times New Roman" w:eastAsia="黑体" w:cs="Times New Roman"/>
          <w:sz w:val="32"/>
          <w:szCs w:val="32"/>
          <w:highlight w:val="none"/>
          <w:lang w:eastAsia="zh-CN"/>
        </w:rPr>
      </w:pPr>
      <w:r>
        <w:rPr>
          <w:rFonts w:hint="eastAsia" w:ascii="Times New Roman" w:hAnsi="Times New Roman" w:eastAsia="黑体" w:cs="Times New Roman"/>
          <w:sz w:val="32"/>
          <w:szCs w:val="32"/>
          <w:highlight w:val="none"/>
          <w:lang w:eastAsia="zh-CN"/>
        </w:rPr>
        <w:t>六、</w:t>
      </w:r>
      <w:r>
        <w:rPr>
          <w:rFonts w:hint="default" w:ascii="Times New Roman" w:hAnsi="Times New Roman" w:eastAsia="黑体" w:cs="Times New Roman"/>
          <w:sz w:val="32"/>
          <w:szCs w:val="32"/>
          <w:highlight w:val="none"/>
          <w:lang w:eastAsia="zh-CN"/>
        </w:rPr>
        <w:t>存在的问题及原因分析</w:t>
      </w:r>
    </w:p>
    <w:p w14:paraId="209E0F11">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color w:val="000000"/>
          <w:sz w:val="32"/>
          <w:szCs w:val="32"/>
          <w:highlight w:val="none"/>
          <w:lang w:val="en-US" w:eastAsia="zh-CN"/>
        </w:rPr>
      </w:pPr>
      <w:r>
        <w:rPr>
          <w:rFonts w:hint="eastAsia" w:ascii="Times New Roman" w:hAnsi="Times New Roman" w:eastAsia="仿宋_GB2312" w:cs="Times New Roman"/>
          <w:color w:val="000000"/>
          <w:sz w:val="32"/>
          <w:szCs w:val="32"/>
          <w:highlight w:val="none"/>
          <w:lang w:val="en-US" w:eastAsia="zh-CN"/>
        </w:rPr>
        <w:t>1、</w:t>
      </w:r>
      <w:r>
        <w:rPr>
          <w:rFonts w:hint="default" w:ascii="Times New Roman" w:hAnsi="Times New Roman" w:eastAsia="仿宋_GB2312" w:cs="Times New Roman"/>
          <w:color w:val="000000"/>
          <w:sz w:val="32"/>
          <w:szCs w:val="32"/>
          <w:highlight w:val="none"/>
          <w:lang w:val="en-US" w:eastAsia="zh-CN"/>
        </w:rPr>
        <w:t>绩效评价并不能完全兼顾工作的方方面面，在各项指标的分析上也未能做到透彻，对各项资金使用的规范性和使用结果的有效性分析</w:t>
      </w:r>
      <w:r>
        <w:rPr>
          <w:rFonts w:hint="eastAsia" w:ascii="Times New Roman" w:hAnsi="Times New Roman" w:eastAsia="仿宋_GB2312" w:cs="Times New Roman"/>
          <w:color w:val="000000"/>
          <w:sz w:val="32"/>
          <w:szCs w:val="32"/>
          <w:highlight w:val="none"/>
          <w:lang w:val="en-US" w:eastAsia="zh-CN"/>
        </w:rPr>
        <w:t>有不足。</w:t>
      </w:r>
    </w:p>
    <w:p w14:paraId="14A62A22">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color w:val="000000"/>
          <w:sz w:val="32"/>
          <w:szCs w:val="32"/>
          <w:highlight w:val="none"/>
          <w:lang w:val="en-US" w:eastAsia="zh-CN"/>
        </w:rPr>
      </w:pPr>
      <w:r>
        <w:rPr>
          <w:rFonts w:hint="eastAsia" w:ascii="Times New Roman" w:hAnsi="Times New Roman" w:eastAsia="仿宋_GB2312" w:cs="Times New Roman"/>
          <w:color w:val="000000"/>
          <w:sz w:val="32"/>
          <w:szCs w:val="32"/>
          <w:highlight w:val="none"/>
          <w:lang w:val="en-US" w:eastAsia="zh-CN"/>
        </w:rPr>
        <w:t>2、</w:t>
      </w:r>
      <w:r>
        <w:rPr>
          <w:rFonts w:hint="default" w:ascii="Times New Roman" w:hAnsi="Times New Roman" w:eastAsia="仿宋_GB2312" w:cs="Times New Roman"/>
          <w:color w:val="000000"/>
          <w:sz w:val="32"/>
          <w:szCs w:val="32"/>
          <w:highlight w:val="none"/>
          <w:lang w:val="en-US" w:eastAsia="zh-CN"/>
        </w:rPr>
        <w:t>对预算绩效管理知识的学习存在局限性，预算绩效管理的合理性、科学性还需加强。</w:t>
      </w:r>
    </w:p>
    <w:p w14:paraId="31003753">
      <w:pPr>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七、</w:t>
      </w:r>
      <w:r>
        <w:rPr>
          <w:rFonts w:hint="default" w:ascii="Times New Roman" w:hAnsi="Times New Roman" w:eastAsia="黑体" w:cs="Times New Roman"/>
          <w:sz w:val="32"/>
          <w:szCs w:val="32"/>
          <w:highlight w:val="none"/>
        </w:rPr>
        <w:t>下一步改进措施</w:t>
      </w:r>
    </w:p>
    <w:p w14:paraId="25730CC3">
      <w:pPr>
        <w:pStyle w:val="9"/>
        <w:ind w:firstLine="640"/>
        <w:rPr>
          <w:rFonts w:hint="default"/>
        </w:rPr>
      </w:pPr>
      <w:r>
        <w:rPr>
          <w:rFonts w:hint="eastAsia"/>
          <w:lang w:val="en-US" w:eastAsia="zh-CN"/>
        </w:rPr>
        <w:t>1、</w:t>
      </w:r>
      <w:r>
        <w:rPr>
          <w:rFonts w:hint="default"/>
        </w:rPr>
        <w:t>细化预算编制工作，认真做好预算的编制。进一步加强单位内部的预算管理意识，严格按照预算编制的相关制度和要求进行预算编制；提高人员的业务素质与参与度。</w:t>
      </w:r>
    </w:p>
    <w:p w14:paraId="438CA953">
      <w:pPr>
        <w:pStyle w:val="9"/>
        <w:ind w:firstLine="640"/>
        <w:rPr>
          <w:rFonts w:hint="eastAsia" w:ascii="Times New Roman" w:hAnsi="Times New Roman" w:eastAsia="仿宋_GB2312" w:cs="Times New Roman"/>
          <w:kern w:val="0"/>
          <w:sz w:val="32"/>
          <w:szCs w:val="32"/>
          <w:highlight w:val="none"/>
          <w:lang w:val="en-US" w:eastAsia="zh-CN" w:bidi="ar-SA"/>
        </w:rPr>
      </w:pPr>
      <w:r>
        <w:rPr>
          <w:rFonts w:hint="eastAsia"/>
          <w:lang w:val="en-US" w:eastAsia="zh-CN"/>
        </w:rPr>
        <w:t>2、</w:t>
      </w:r>
      <w:r>
        <w:rPr>
          <w:rFonts w:hint="default"/>
        </w:rPr>
        <w:t>完善内部控制体系建设。针对检查和评价过程中发现的问题和相关财经法律法规的变化，对相关制度、措施和程序进行调整、改进内部控制管理办法。对相关人员加强培训，规范部门预算收支核算，切实提高部门预算收支管理水平。</w:t>
      </w:r>
    </w:p>
    <w:p w14:paraId="6D5916C1">
      <w:pPr>
        <w:keepNext w:val="0"/>
        <w:keepLines w:val="0"/>
        <w:pageBreakBefore w:val="0"/>
        <w:widowControl/>
        <w:numPr>
          <w:ilvl w:val="0"/>
          <w:numId w:val="5"/>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部门整体支出绩效自评结果拟应用和公开情况</w:t>
      </w:r>
    </w:p>
    <w:p w14:paraId="3F956DAA">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right="0" w:firstLine="640" w:firstLineChars="200"/>
        <w:jc w:val="both"/>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对照绩效自评结果，总结经验，发现问题，提出改进的方向和具体措施，促进工作的开展。逐步建立绩效评价与部门预算相结合的结果应用机制，实行绩效评价结果在部门预算编制和执行中的应用，促进财政资金的合理分配与有效使用。</w:t>
      </w:r>
    </w:p>
    <w:p w14:paraId="49291D54">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default"/>
        </w:rPr>
      </w:pPr>
      <w:r>
        <w:rPr>
          <w:rFonts w:hint="eastAsia" w:ascii="Times New Roman" w:hAnsi="Times New Roman" w:eastAsia="仿宋_GB2312" w:cs="Times New Roman"/>
          <w:sz w:val="32"/>
          <w:szCs w:val="32"/>
          <w:lang w:val="en-US" w:eastAsia="zh-CN"/>
        </w:rPr>
        <w:t>对部门整体支出绩效自评在规定时间内公开至本单位门户网站，确保公开数据真实、完整、准确。</w:t>
      </w:r>
    </w:p>
    <w:p w14:paraId="57C60286">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十、</w:t>
      </w:r>
      <w:r>
        <w:rPr>
          <w:rFonts w:hint="default" w:ascii="Times New Roman" w:hAnsi="Times New Roman" w:eastAsia="黑体" w:cs="Times New Roman"/>
          <w:sz w:val="32"/>
          <w:szCs w:val="32"/>
          <w:highlight w:val="none"/>
        </w:rPr>
        <w:t>其他需要说明的情况</w:t>
      </w:r>
    </w:p>
    <w:p w14:paraId="7CB9A367">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kern w:val="0"/>
          <w:sz w:val="32"/>
          <w:szCs w:val="32"/>
          <w:lang w:val="en-US" w:eastAsia="zh-CN" w:bidi="ar-SA"/>
        </w:rPr>
        <w:t>无。</w:t>
      </w:r>
      <w:r>
        <w:rPr>
          <w:rFonts w:hint="eastAsia" w:ascii="Times New Roman" w:hAnsi="Times New Roman" w:eastAsia="仿宋_GB2312" w:cs="Times New Roman"/>
          <w:kern w:val="0"/>
          <w:sz w:val="32"/>
          <w:szCs w:val="32"/>
          <w:lang w:val="en-US" w:eastAsia="zh-CN" w:bidi="ar-SA"/>
        </w:rPr>
        <w:br w:type="page"/>
      </w:r>
    </w:p>
    <w:p w14:paraId="6FDCAA30">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1</w:t>
      </w:r>
    </w:p>
    <w:p w14:paraId="13F50AE7">
      <w:pPr>
        <w:spacing w:after="120" w:afterLines="50" w:line="600" w:lineRule="exact"/>
        <w:jc w:val="center"/>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7"/>
        <w:tblW w:w="9673" w:type="dxa"/>
        <w:jc w:val="center"/>
        <w:tblLayout w:type="fixed"/>
        <w:tblCellMar>
          <w:top w:w="0" w:type="dxa"/>
          <w:left w:w="108" w:type="dxa"/>
          <w:bottom w:w="0" w:type="dxa"/>
          <w:right w:w="108" w:type="dxa"/>
        </w:tblCellMar>
      </w:tblPr>
      <w:tblGrid>
        <w:gridCol w:w="3354"/>
        <w:gridCol w:w="1189"/>
        <w:gridCol w:w="849"/>
        <w:gridCol w:w="1129"/>
        <w:gridCol w:w="1111"/>
        <w:gridCol w:w="1081"/>
        <w:gridCol w:w="960"/>
      </w:tblGrid>
      <w:tr w14:paraId="79E92C49">
        <w:tblPrEx>
          <w:tblCellMar>
            <w:top w:w="0" w:type="dxa"/>
            <w:left w:w="108" w:type="dxa"/>
            <w:bottom w:w="0" w:type="dxa"/>
            <w:right w:w="108" w:type="dxa"/>
          </w:tblCellMar>
        </w:tblPrEx>
        <w:trPr>
          <w:trHeight w:val="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14:paraId="6992C6AA">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14:paraId="25EA6AC5">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14:paraId="055F5332">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14:paraId="3F305B2A">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14:paraId="32875B18">
        <w:tblPrEx>
          <w:tblCellMar>
            <w:top w:w="0" w:type="dxa"/>
            <w:left w:w="108" w:type="dxa"/>
            <w:bottom w:w="0" w:type="dxa"/>
            <w:right w:w="108" w:type="dxa"/>
          </w:tblCellMar>
        </w:tblPrEx>
        <w:trPr>
          <w:trHeight w:val="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14:paraId="12687017">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14:paraId="49FCF7EB">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15</w:t>
            </w:r>
          </w:p>
        </w:tc>
        <w:tc>
          <w:tcPr>
            <w:tcW w:w="2240" w:type="dxa"/>
            <w:gridSpan w:val="2"/>
            <w:tcBorders>
              <w:top w:val="single" w:color="auto" w:sz="4" w:space="0"/>
              <w:left w:val="nil"/>
              <w:bottom w:val="single" w:color="auto" w:sz="4" w:space="0"/>
              <w:right w:val="single" w:color="auto" w:sz="4" w:space="0"/>
            </w:tcBorders>
            <w:noWrap w:val="0"/>
            <w:vAlign w:val="center"/>
          </w:tcPr>
          <w:p w14:paraId="501C6E22">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14</w:t>
            </w:r>
            <w:bookmarkStart w:id="0" w:name="_GoBack"/>
            <w:bookmarkEnd w:id="0"/>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auto" w:sz="4" w:space="0"/>
            </w:tcBorders>
            <w:noWrap w:val="0"/>
            <w:vAlign w:val="center"/>
          </w:tcPr>
          <w:p w14:paraId="428B4555">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w:t>
            </w:r>
          </w:p>
        </w:tc>
      </w:tr>
      <w:tr w14:paraId="6D6DBD2B">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84C4F87">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14:paraId="66D68EFA">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14:paraId="57D2C532">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14:paraId="5FC0DAA4">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14:paraId="6A48A1DC">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6D32AEB0">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2010F5B9">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3.72</w:t>
            </w:r>
          </w:p>
        </w:tc>
        <w:tc>
          <w:tcPr>
            <w:tcW w:w="2240" w:type="dxa"/>
            <w:gridSpan w:val="2"/>
            <w:tcBorders>
              <w:top w:val="single" w:color="auto" w:sz="4" w:space="0"/>
              <w:left w:val="nil"/>
              <w:bottom w:val="single" w:color="auto" w:sz="4" w:space="0"/>
              <w:right w:val="single" w:color="000000" w:sz="4" w:space="0"/>
            </w:tcBorders>
            <w:noWrap w:val="0"/>
            <w:vAlign w:val="center"/>
          </w:tcPr>
          <w:p w14:paraId="13E78D07">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2.95</w:t>
            </w:r>
          </w:p>
        </w:tc>
        <w:tc>
          <w:tcPr>
            <w:tcW w:w="2041" w:type="dxa"/>
            <w:gridSpan w:val="2"/>
            <w:tcBorders>
              <w:top w:val="single" w:color="auto" w:sz="4" w:space="0"/>
              <w:left w:val="nil"/>
              <w:bottom w:val="single" w:color="auto" w:sz="4" w:space="0"/>
              <w:right w:val="single" w:color="000000" w:sz="4" w:space="0"/>
            </w:tcBorders>
            <w:noWrap w:val="0"/>
            <w:vAlign w:val="center"/>
          </w:tcPr>
          <w:p w14:paraId="52B221E0">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2.95</w:t>
            </w:r>
          </w:p>
        </w:tc>
      </w:tr>
      <w:tr w14:paraId="00BBE135">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6858524A">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76711F7E">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0BF71098">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4B50CF61">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14:paraId="13A11861">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4EB0D22C">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14:paraId="65558A89">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7580A48E">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0706D296">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14:paraId="403929DA">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6E67AAA">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14:paraId="493B5CC3">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7643AAC9">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34940AFD">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14:paraId="46C2FC59">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2BDEEAB3">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75788799">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2B4875E2">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289355E8">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14:paraId="3325D761">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06320C92">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14:paraId="5B29EFBB">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3.72</w:t>
            </w:r>
          </w:p>
        </w:tc>
        <w:tc>
          <w:tcPr>
            <w:tcW w:w="2240" w:type="dxa"/>
            <w:gridSpan w:val="2"/>
            <w:tcBorders>
              <w:top w:val="single" w:color="auto" w:sz="4" w:space="0"/>
              <w:left w:val="nil"/>
              <w:bottom w:val="single" w:color="auto" w:sz="4" w:space="0"/>
              <w:right w:val="single" w:color="000000" w:sz="4" w:space="0"/>
            </w:tcBorders>
            <w:noWrap w:val="0"/>
            <w:vAlign w:val="center"/>
          </w:tcPr>
          <w:p w14:paraId="758147E3">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2.95</w:t>
            </w:r>
          </w:p>
        </w:tc>
        <w:tc>
          <w:tcPr>
            <w:tcW w:w="2041" w:type="dxa"/>
            <w:gridSpan w:val="2"/>
            <w:tcBorders>
              <w:top w:val="single" w:color="auto" w:sz="4" w:space="0"/>
              <w:left w:val="nil"/>
              <w:bottom w:val="single" w:color="auto" w:sz="4" w:space="0"/>
              <w:right w:val="single" w:color="000000" w:sz="4" w:space="0"/>
            </w:tcBorders>
            <w:noWrap w:val="0"/>
            <w:vAlign w:val="center"/>
          </w:tcPr>
          <w:p w14:paraId="373BAAA4">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2.95</w:t>
            </w:r>
          </w:p>
        </w:tc>
      </w:tr>
      <w:tr w14:paraId="0F9FF14E">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32B57E39">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14:paraId="504F9555">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8　</w:t>
            </w:r>
          </w:p>
        </w:tc>
        <w:tc>
          <w:tcPr>
            <w:tcW w:w="2240" w:type="dxa"/>
            <w:gridSpan w:val="2"/>
            <w:tcBorders>
              <w:top w:val="single" w:color="auto" w:sz="4" w:space="0"/>
              <w:left w:val="nil"/>
              <w:bottom w:val="single" w:color="auto" w:sz="4" w:space="0"/>
              <w:right w:val="single" w:color="000000" w:sz="4" w:space="0"/>
            </w:tcBorders>
            <w:noWrap w:val="0"/>
            <w:vAlign w:val="center"/>
          </w:tcPr>
          <w:p w14:paraId="3846CEC8">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565</w:t>
            </w:r>
          </w:p>
        </w:tc>
        <w:tc>
          <w:tcPr>
            <w:tcW w:w="2041" w:type="dxa"/>
            <w:gridSpan w:val="2"/>
            <w:tcBorders>
              <w:top w:val="single" w:color="auto" w:sz="4" w:space="0"/>
              <w:left w:val="nil"/>
              <w:bottom w:val="single" w:color="auto" w:sz="4" w:space="0"/>
              <w:right w:val="single" w:color="000000" w:sz="4" w:space="0"/>
            </w:tcBorders>
            <w:noWrap w:val="0"/>
            <w:vAlign w:val="center"/>
          </w:tcPr>
          <w:p w14:paraId="686FE5A6">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565</w:t>
            </w:r>
          </w:p>
        </w:tc>
      </w:tr>
      <w:tr w14:paraId="0F9CCBB9">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7E009471">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01E39115">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14:paraId="2FA696FD">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344AD850">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520.5</w:t>
            </w:r>
            <w:r>
              <w:rPr>
                <w:rFonts w:hint="eastAsia" w:ascii="仿宋_GB2312" w:hAnsi="仿宋_GB2312" w:eastAsia="仿宋_GB2312" w:cs="仿宋_GB2312"/>
                <w:sz w:val="20"/>
                <w:szCs w:val="20"/>
                <w:highlight w:val="none"/>
              </w:rPr>
              <w:t>　</w:t>
            </w:r>
          </w:p>
        </w:tc>
      </w:tr>
      <w:tr w14:paraId="4A0EE850">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B03B8E3">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w:t>
            </w:r>
            <w:r>
              <w:rPr>
                <w:rFonts w:hint="eastAsia" w:ascii="仿宋_GB2312" w:hAnsi="仿宋_GB2312" w:eastAsia="仿宋_GB2312" w:cs="仿宋_GB2312"/>
                <w:color w:val="000000"/>
                <w:sz w:val="20"/>
                <w:szCs w:val="20"/>
                <w:highlight w:val="none"/>
                <w:lang w:val="en-US" w:eastAsia="zh-CN"/>
              </w:rPr>
              <w:t>宣传专项</w:t>
            </w:r>
          </w:p>
        </w:tc>
        <w:tc>
          <w:tcPr>
            <w:tcW w:w="2038" w:type="dxa"/>
            <w:gridSpan w:val="2"/>
            <w:tcBorders>
              <w:top w:val="single" w:color="auto" w:sz="4" w:space="0"/>
              <w:left w:val="nil"/>
              <w:bottom w:val="single" w:color="auto" w:sz="4" w:space="0"/>
              <w:right w:val="single" w:color="000000" w:sz="4" w:space="0"/>
            </w:tcBorders>
            <w:noWrap w:val="0"/>
            <w:vAlign w:val="center"/>
          </w:tcPr>
          <w:p w14:paraId="6EFF2185">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6108D4F2">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419B9F15">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44.5</w:t>
            </w:r>
            <w:r>
              <w:rPr>
                <w:rFonts w:hint="eastAsia" w:ascii="仿宋_GB2312" w:hAnsi="仿宋_GB2312" w:eastAsia="仿宋_GB2312" w:cs="仿宋_GB2312"/>
                <w:sz w:val="20"/>
                <w:szCs w:val="20"/>
                <w:highlight w:val="none"/>
              </w:rPr>
              <w:t>　</w:t>
            </w:r>
          </w:p>
        </w:tc>
      </w:tr>
      <w:tr w14:paraId="723AE235">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D58A92A">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14:paraId="7ADEDDEB">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14:paraId="11BC3B4E">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032964D1">
            <w:pPr>
              <w:widowControl/>
              <w:spacing w:line="360" w:lineRule="exact"/>
              <w:jc w:val="center"/>
              <w:rPr>
                <w:rFonts w:hint="eastAsia" w:ascii="仿宋_GB2312" w:hAnsi="仿宋_GB2312" w:eastAsia="仿宋_GB2312" w:cs="仿宋_GB2312"/>
                <w:sz w:val="20"/>
                <w:szCs w:val="20"/>
                <w:highlight w:val="none"/>
              </w:rPr>
            </w:pPr>
          </w:p>
        </w:tc>
      </w:tr>
      <w:tr w14:paraId="2318A99C">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00D1151E">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w:t>
            </w:r>
            <w:r>
              <w:rPr>
                <w:rFonts w:hint="eastAsia" w:ascii="仿宋_GB2312" w:hAnsi="仿宋_GB2312" w:eastAsia="仿宋_GB2312" w:cs="仿宋_GB2312"/>
                <w:sz w:val="20"/>
                <w:szCs w:val="20"/>
                <w:highlight w:val="none"/>
                <w:lang w:eastAsia="zh-CN"/>
              </w:rPr>
              <w:t>市级</w:t>
            </w:r>
            <w:r>
              <w:rPr>
                <w:rFonts w:hint="eastAsia" w:ascii="仿宋_GB2312" w:hAnsi="仿宋_GB2312" w:eastAsia="仿宋_GB2312" w:cs="仿宋_GB2312"/>
                <w:sz w:val="20"/>
                <w:szCs w:val="20"/>
                <w:highlight w:val="none"/>
              </w:rPr>
              <w:t>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14:paraId="1C1FE7C1">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45DF5648">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1B8B3569">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1C9EC53D">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3D0B8D39">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14:paraId="35E0B15D">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14:paraId="1E2AF0C4">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48394F57">
            <w:pPr>
              <w:widowControl/>
              <w:spacing w:line="360" w:lineRule="exact"/>
              <w:jc w:val="center"/>
              <w:rPr>
                <w:rFonts w:hint="eastAsia" w:ascii="仿宋_GB2312" w:hAnsi="仿宋_GB2312" w:eastAsia="仿宋_GB2312" w:cs="仿宋_GB2312"/>
                <w:sz w:val="20"/>
                <w:szCs w:val="20"/>
                <w:highlight w:val="none"/>
              </w:rPr>
            </w:pPr>
          </w:p>
        </w:tc>
      </w:tr>
      <w:tr w14:paraId="709CA107">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61133D5E">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36B668E8">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421.92</w:t>
            </w:r>
          </w:p>
        </w:tc>
        <w:tc>
          <w:tcPr>
            <w:tcW w:w="2240" w:type="dxa"/>
            <w:gridSpan w:val="2"/>
            <w:tcBorders>
              <w:top w:val="single" w:color="auto" w:sz="4" w:space="0"/>
              <w:left w:val="nil"/>
              <w:bottom w:val="single" w:color="auto" w:sz="4" w:space="0"/>
              <w:right w:val="single" w:color="000000" w:sz="4" w:space="0"/>
            </w:tcBorders>
            <w:noWrap w:val="0"/>
            <w:vAlign w:val="center"/>
          </w:tcPr>
          <w:p w14:paraId="2C68A141">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45</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5</w:t>
            </w:r>
            <w:r>
              <w:rPr>
                <w:rFonts w:hint="eastAsia" w:ascii="仿宋_GB2312" w:hAnsi="仿宋_GB2312" w:eastAsia="仿宋_GB2312" w:cs="仿宋_GB2312"/>
                <w:sz w:val="20"/>
                <w:szCs w:val="20"/>
                <w:highlight w:val="none"/>
                <w:lang w:val="en-US" w:eastAsia="zh-CN"/>
              </w:rPr>
              <w:t>5</w:t>
            </w:r>
          </w:p>
        </w:tc>
        <w:tc>
          <w:tcPr>
            <w:tcW w:w="2041" w:type="dxa"/>
            <w:gridSpan w:val="2"/>
            <w:tcBorders>
              <w:top w:val="single" w:color="auto" w:sz="4" w:space="0"/>
              <w:left w:val="nil"/>
              <w:bottom w:val="single" w:color="auto" w:sz="4" w:space="0"/>
              <w:right w:val="single" w:color="000000" w:sz="4" w:space="0"/>
            </w:tcBorders>
            <w:noWrap w:val="0"/>
            <w:vAlign w:val="center"/>
          </w:tcPr>
          <w:p w14:paraId="4BD4B3CA">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45</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5</w:t>
            </w:r>
            <w:r>
              <w:rPr>
                <w:rFonts w:hint="eastAsia" w:ascii="仿宋_GB2312" w:hAnsi="仿宋_GB2312" w:eastAsia="仿宋_GB2312" w:cs="仿宋_GB2312"/>
                <w:sz w:val="20"/>
                <w:szCs w:val="20"/>
                <w:highlight w:val="none"/>
                <w:lang w:val="en-US" w:eastAsia="zh-CN"/>
              </w:rPr>
              <w:t>5</w:t>
            </w:r>
          </w:p>
        </w:tc>
      </w:tr>
      <w:tr w14:paraId="6506D54B">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368AC2B">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21390CA9">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89.91</w:t>
            </w:r>
          </w:p>
        </w:tc>
        <w:tc>
          <w:tcPr>
            <w:tcW w:w="2240" w:type="dxa"/>
            <w:gridSpan w:val="2"/>
            <w:tcBorders>
              <w:top w:val="single" w:color="auto" w:sz="4" w:space="0"/>
              <w:left w:val="nil"/>
              <w:bottom w:val="single" w:color="auto" w:sz="4" w:space="0"/>
              <w:right w:val="single" w:color="000000" w:sz="4" w:space="0"/>
            </w:tcBorders>
            <w:noWrap w:val="0"/>
            <w:vAlign w:val="center"/>
          </w:tcPr>
          <w:p w14:paraId="314E25F1">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28.2</w:t>
            </w:r>
          </w:p>
        </w:tc>
        <w:tc>
          <w:tcPr>
            <w:tcW w:w="2041" w:type="dxa"/>
            <w:gridSpan w:val="2"/>
            <w:tcBorders>
              <w:top w:val="single" w:color="auto" w:sz="4" w:space="0"/>
              <w:left w:val="nil"/>
              <w:bottom w:val="single" w:color="auto" w:sz="4" w:space="0"/>
              <w:right w:val="single" w:color="000000" w:sz="4" w:space="0"/>
            </w:tcBorders>
            <w:noWrap w:val="0"/>
            <w:vAlign w:val="center"/>
          </w:tcPr>
          <w:p w14:paraId="0AA1DE0B">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28.2</w:t>
            </w:r>
          </w:p>
        </w:tc>
      </w:tr>
      <w:tr w14:paraId="0D99ED84">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4BC2E6F">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14:paraId="0DB3E7F9">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0.47</w:t>
            </w:r>
          </w:p>
        </w:tc>
        <w:tc>
          <w:tcPr>
            <w:tcW w:w="2240" w:type="dxa"/>
            <w:gridSpan w:val="2"/>
            <w:tcBorders>
              <w:top w:val="single" w:color="auto" w:sz="4" w:space="0"/>
              <w:left w:val="nil"/>
              <w:bottom w:val="single" w:color="auto" w:sz="4" w:space="0"/>
              <w:right w:val="single" w:color="000000" w:sz="4" w:space="0"/>
            </w:tcBorders>
            <w:noWrap w:val="0"/>
            <w:vAlign w:val="center"/>
          </w:tcPr>
          <w:p w14:paraId="02539AB5">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2.64</w:t>
            </w:r>
          </w:p>
        </w:tc>
        <w:tc>
          <w:tcPr>
            <w:tcW w:w="2041" w:type="dxa"/>
            <w:gridSpan w:val="2"/>
            <w:tcBorders>
              <w:top w:val="single" w:color="auto" w:sz="4" w:space="0"/>
              <w:left w:val="nil"/>
              <w:bottom w:val="single" w:color="auto" w:sz="4" w:space="0"/>
              <w:right w:val="single" w:color="000000" w:sz="4" w:space="0"/>
            </w:tcBorders>
            <w:noWrap w:val="0"/>
            <w:vAlign w:val="center"/>
          </w:tcPr>
          <w:p w14:paraId="4BBD8129">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2.64</w:t>
            </w:r>
          </w:p>
        </w:tc>
      </w:tr>
      <w:tr w14:paraId="299D4A91">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2A4C797C">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14:paraId="5FF09263">
            <w:pPr>
              <w:widowControl/>
              <w:spacing w:line="360" w:lineRule="exact"/>
              <w:jc w:val="center"/>
              <w:rPr>
                <w:rFonts w:hint="default" w:ascii="仿宋_GB2312" w:hAnsi="仿宋_GB2312" w:eastAsia="仿宋_GB2312" w:cs="仿宋_GB2312"/>
                <w:color w:val="FF0000"/>
                <w:sz w:val="20"/>
                <w:szCs w:val="20"/>
                <w:highlight w:val="none"/>
                <w:lang w:val="en-US" w:eastAsia="zh-CN"/>
              </w:rPr>
            </w:pPr>
            <w:r>
              <w:rPr>
                <w:rFonts w:hint="eastAsia" w:ascii="仿宋_GB2312" w:hAnsi="仿宋_GB2312" w:eastAsia="仿宋_GB2312" w:cs="仿宋_GB2312"/>
                <w:sz w:val="20"/>
                <w:szCs w:val="20"/>
                <w:highlight w:val="none"/>
                <w:lang w:val="en-US" w:eastAsia="zh-CN"/>
              </w:rPr>
              <w:t>0.5</w:t>
            </w:r>
          </w:p>
        </w:tc>
        <w:tc>
          <w:tcPr>
            <w:tcW w:w="2240" w:type="dxa"/>
            <w:gridSpan w:val="2"/>
            <w:tcBorders>
              <w:top w:val="single" w:color="auto" w:sz="4" w:space="0"/>
              <w:left w:val="nil"/>
              <w:bottom w:val="single" w:color="auto" w:sz="4" w:space="0"/>
              <w:right w:val="single" w:color="000000" w:sz="4" w:space="0"/>
            </w:tcBorders>
            <w:noWrap w:val="0"/>
            <w:vAlign w:val="center"/>
          </w:tcPr>
          <w:p w14:paraId="258041A2">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1.02</w:t>
            </w:r>
          </w:p>
        </w:tc>
        <w:tc>
          <w:tcPr>
            <w:tcW w:w="2041" w:type="dxa"/>
            <w:gridSpan w:val="2"/>
            <w:tcBorders>
              <w:top w:val="single" w:color="auto" w:sz="4" w:space="0"/>
              <w:left w:val="nil"/>
              <w:bottom w:val="single" w:color="auto" w:sz="4" w:space="0"/>
              <w:right w:val="single" w:color="000000" w:sz="4" w:space="0"/>
            </w:tcBorders>
            <w:noWrap w:val="0"/>
            <w:vAlign w:val="center"/>
          </w:tcPr>
          <w:p w14:paraId="109BBC83">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1.02</w:t>
            </w:r>
          </w:p>
        </w:tc>
      </w:tr>
      <w:tr w14:paraId="0231A4C9">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3FFF678C">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14:paraId="63F889F2">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14:paraId="31DDE884">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251</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8</w:t>
            </w:r>
            <w:r>
              <w:rPr>
                <w:rFonts w:hint="eastAsia" w:ascii="仿宋_GB2312" w:hAnsi="仿宋_GB2312" w:eastAsia="仿宋_GB2312" w:cs="仿宋_GB2312"/>
                <w:sz w:val="20"/>
                <w:szCs w:val="20"/>
                <w:highlight w:val="none"/>
                <w:lang w:val="en-US" w:eastAsia="zh-CN"/>
              </w:rPr>
              <w:t>7</w:t>
            </w:r>
          </w:p>
        </w:tc>
        <w:tc>
          <w:tcPr>
            <w:tcW w:w="2041" w:type="dxa"/>
            <w:gridSpan w:val="2"/>
            <w:tcBorders>
              <w:top w:val="single" w:color="auto" w:sz="4" w:space="0"/>
              <w:left w:val="nil"/>
              <w:bottom w:val="single" w:color="auto" w:sz="4" w:space="0"/>
              <w:right w:val="single" w:color="000000" w:sz="4" w:space="0"/>
            </w:tcBorders>
            <w:noWrap w:val="0"/>
            <w:vAlign w:val="center"/>
          </w:tcPr>
          <w:p w14:paraId="327DD9FF">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251</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8</w:t>
            </w:r>
            <w:r>
              <w:rPr>
                <w:rFonts w:hint="eastAsia" w:ascii="仿宋_GB2312" w:hAnsi="仿宋_GB2312" w:eastAsia="仿宋_GB2312" w:cs="仿宋_GB2312"/>
                <w:sz w:val="20"/>
                <w:szCs w:val="20"/>
                <w:highlight w:val="none"/>
                <w:lang w:val="en-US" w:eastAsia="zh-CN"/>
              </w:rPr>
              <w:t>7</w:t>
            </w:r>
          </w:p>
        </w:tc>
      </w:tr>
      <w:tr w14:paraId="238837CF">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2DE6D916">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14:paraId="1CC10848">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14:paraId="470EB9DB">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color w:val="000000"/>
                <w:sz w:val="20"/>
                <w:szCs w:val="20"/>
                <w:highlight w:val="none"/>
              </w:rPr>
              <w:t>329</w:t>
            </w:r>
            <w:r>
              <w:rPr>
                <w:rFonts w:hint="eastAsia" w:ascii="仿宋_GB2312" w:hAnsi="仿宋_GB2312" w:eastAsia="仿宋_GB2312" w:cs="仿宋_GB2312"/>
                <w:color w:val="000000"/>
                <w:sz w:val="20"/>
                <w:szCs w:val="20"/>
                <w:highlight w:val="none"/>
                <w:lang w:val="en-US" w:eastAsia="zh-CN"/>
              </w:rPr>
              <w:t>.</w:t>
            </w:r>
            <w:r>
              <w:rPr>
                <w:rFonts w:hint="eastAsia" w:ascii="仿宋_GB2312" w:hAnsi="仿宋_GB2312" w:eastAsia="仿宋_GB2312" w:cs="仿宋_GB2312"/>
                <w:color w:val="000000"/>
                <w:sz w:val="20"/>
                <w:szCs w:val="20"/>
                <w:highlight w:val="none"/>
              </w:rPr>
              <w:t>4</w:t>
            </w:r>
            <w:r>
              <w:rPr>
                <w:rFonts w:hint="eastAsia" w:ascii="仿宋_GB2312" w:hAnsi="仿宋_GB2312" w:eastAsia="仿宋_GB2312" w:cs="仿宋_GB2312"/>
                <w:color w:val="000000"/>
                <w:sz w:val="20"/>
                <w:szCs w:val="20"/>
                <w:highlight w:val="none"/>
                <w:lang w:val="en-US" w:eastAsia="zh-CN"/>
              </w:rPr>
              <w:t>7</w:t>
            </w:r>
          </w:p>
        </w:tc>
        <w:tc>
          <w:tcPr>
            <w:tcW w:w="2041" w:type="dxa"/>
            <w:gridSpan w:val="2"/>
            <w:tcBorders>
              <w:top w:val="single" w:color="auto" w:sz="4" w:space="0"/>
              <w:left w:val="nil"/>
              <w:bottom w:val="single" w:color="auto" w:sz="4" w:space="0"/>
              <w:right w:val="single" w:color="000000" w:sz="4" w:space="0"/>
            </w:tcBorders>
            <w:noWrap w:val="0"/>
            <w:vAlign w:val="center"/>
          </w:tcPr>
          <w:p w14:paraId="1B4B3468">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329</w:t>
            </w:r>
            <w:r>
              <w:rPr>
                <w:rFonts w:hint="eastAsia" w:ascii="仿宋_GB2312" w:hAnsi="仿宋_GB2312" w:eastAsia="仿宋_GB2312" w:cs="仿宋_GB2312"/>
                <w:color w:val="000000"/>
                <w:sz w:val="20"/>
                <w:szCs w:val="20"/>
                <w:highlight w:val="none"/>
                <w:lang w:val="en-US" w:eastAsia="zh-CN"/>
              </w:rPr>
              <w:t>.</w:t>
            </w:r>
            <w:r>
              <w:rPr>
                <w:rFonts w:hint="eastAsia" w:ascii="仿宋_GB2312" w:hAnsi="仿宋_GB2312" w:eastAsia="仿宋_GB2312" w:cs="仿宋_GB2312"/>
                <w:color w:val="000000"/>
                <w:sz w:val="20"/>
                <w:szCs w:val="20"/>
                <w:highlight w:val="none"/>
              </w:rPr>
              <w:t>4</w:t>
            </w:r>
            <w:r>
              <w:rPr>
                <w:rFonts w:hint="eastAsia" w:ascii="仿宋_GB2312" w:hAnsi="仿宋_GB2312" w:eastAsia="仿宋_GB2312" w:cs="仿宋_GB2312"/>
                <w:color w:val="000000"/>
                <w:sz w:val="20"/>
                <w:szCs w:val="20"/>
                <w:highlight w:val="none"/>
                <w:lang w:val="en-US" w:eastAsia="zh-CN"/>
              </w:rPr>
              <w:t>7</w:t>
            </w:r>
            <w:r>
              <w:rPr>
                <w:rFonts w:hint="eastAsia" w:ascii="仿宋_GB2312" w:hAnsi="仿宋_GB2312" w:eastAsia="仿宋_GB2312" w:cs="仿宋_GB2312"/>
                <w:sz w:val="20"/>
                <w:szCs w:val="20"/>
                <w:highlight w:val="none"/>
              </w:rPr>
              <w:t>　</w:t>
            </w:r>
          </w:p>
        </w:tc>
      </w:tr>
      <w:tr w14:paraId="2A666649">
        <w:tblPrEx>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14:paraId="2E685D2F">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楼堂馆所控制情况</w:t>
            </w:r>
            <w:r>
              <w:rPr>
                <w:rFonts w:hint="eastAsia" w:ascii="仿宋_GB2312" w:hAnsi="仿宋_GB2312" w:eastAsia="仿宋_GB2312" w:cs="仿宋_GB2312"/>
                <w:sz w:val="20"/>
                <w:szCs w:val="20"/>
                <w:highlight w:val="none"/>
              </w:rPr>
              <w:br w:type="textWrapping"/>
            </w: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14:paraId="7695BB88">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批复规模</w:t>
            </w:r>
            <w:r>
              <w:rPr>
                <w:rFonts w:hint="eastAsia" w:ascii="仿宋_GB2312" w:hAnsi="仿宋_GB2312" w:eastAsia="仿宋_GB2312" w:cs="仿宋_GB2312"/>
                <w:bCs/>
                <w:sz w:val="20"/>
                <w:szCs w:val="20"/>
                <w:highlight w:val="none"/>
              </w:rPr>
              <w:br w:type="textWrapping"/>
            </w: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14:paraId="5E0D4873">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14:paraId="36672C70">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14:paraId="1567DD7E">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14:paraId="7D819BE5">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14:paraId="66DFCC86">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14:paraId="0B7C2583">
        <w:tblPrEx>
          <w:tblCellMar>
            <w:top w:w="0" w:type="dxa"/>
            <w:left w:w="108" w:type="dxa"/>
            <w:bottom w:w="0" w:type="dxa"/>
            <w:right w:w="108" w:type="dxa"/>
          </w:tblCellMar>
        </w:tblPrEx>
        <w:trPr>
          <w:trHeight w:val="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14:paraId="28253367">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14:paraId="4A0366FF">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849" w:type="dxa"/>
            <w:tcBorders>
              <w:top w:val="nil"/>
              <w:left w:val="nil"/>
              <w:bottom w:val="single" w:color="auto" w:sz="4" w:space="0"/>
              <w:right w:val="single" w:color="auto" w:sz="4" w:space="0"/>
            </w:tcBorders>
            <w:noWrap w:val="0"/>
            <w:vAlign w:val="center"/>
          </w:tcPr>
          <w:p w14:paraId="4913C982">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29" w:type="dxa"/>
            <w:tcBorders>
              <w:top w:val="nil"/>
              <w:left w:val="nil"/>
              <w:bottom w:val="single" w:color="auto" w:sz="4" w:space="0"/>
              <w:right w:val="single" w:color="auto" w:sz="4" w:space="0"/>
            </w:tcBorders>
            <w:noWrap w:val="0"/>
            <w:vAlign w:val="center"/>
          </w:tcPr>
          <w:p w14:paraId="651E9A18">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11" w:type="dxa"/>
            <w:tcBorders>
              <w:top w:val="nil"/>
              <w:left w:val="nil"/>
              <w:bottom w:val="single" w:color="auto" w:sz="4" w:space="0"/>
              <w:right w:val="single" w:color="auto" w:sz="4" w:space="0"/>
            </w:tcBorders>
            <w:noWrap w:val="0"/>
            <w:vAlign w:val="center"/>
          </w:tcPr>
          <w:p w14:paraId="1E9670AA">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081" w:type="dxa"/>
            <w:tcBorders>
              <w:top w:val="nil"/>
              <w:left w:val="nil"/>
              <w:bottom w:val="single" w:color="auto" w:sz="4" w:space="0"/>
              <w:right w:val="single" w:color="auto" w:sz="4" w:space="0"/>
            </w:tcBorders>
            <w:noWrap w:val="0"/>
            <w:vAlign w:val="center"/>
          </w:tcPr>
          <w:p w14:paraId="1C7244F0">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960" w:type="dxa"/>
            <w:tcBorders>
              <w:top w:val="nil"/>
              <w:left w:val="nil"/>
              <w:bottom w:val="single" w:color="auto" w:sz="4" w:space="0"/>
              <w:right w:val="single" w:color="auto" w:sz="4" w:space="0"/>
            </w:tcBorders>
            <w:noWrap w:val="0"/>
            <w:vAlign w:val="center"/>
          </w:tcPr>
          <w:p w14:paraId="2D8DBC0B">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62A494A2">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229D2DDF">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14:paraId="03CE1A44">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lang w:val="en-US" w:eastAsia="zh-CN"/>
              </w:rPr>
              <w:t>深入贯彻落实中央八项规定及其实施细则特神，严格控制“三公”经费开支，严禁超范围、超标准开支，践行精细化管理理念，加强绩效化管理，推进绩效评价结果与预算挂钩，严防资金低效使用，确保财力有效转化为保障力。</w:t>
            </w:r>
            <w:r>
              <w:rPr>
                <w:rFonts w:hint="eastAsia" w:ascii="仿宋_GB2312" w:hAnsi="仿宋_GB2312" w:eastAsia="仿宋_GB2312" w:cs="仿宋_GB2312"/>
                <w:sz w:val="20"/>
                <w:szCs w:val="20"/>
                <w:highlight w:val="none"/>
              </w:rPr>
              <w:t>　　</w:t>
            </w:r>
          </w:p>
        </w:tc>
      </w:tr>
    </w:tbl>
    <w:p w14:paraId="59FBD60A">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14:paraId="6CCCCBBF">
      <w:pPr>
        <w:widowControl/>
        <w:spacing w:afterLines="0" w:line="400" w:lineRule="exact"/>
        <w:jc w:val="left"/>
        <w:rPr>
          <w:rFonts w:hint="default" w:ascii="Times New Roman" w:hAnsi="Times New Roman" w:eastAsia="仿宋_GB2312" w:cs="Times New Roman"/>
          <w:sz w:val="22"/>
          <w:highlight w:val="none"/>
        </w:rPr>
      </w:pPr>
    </w:p>
    <w:p w14:paraId="4191E8A7">
      <w:pPr>
        <w:widowControl/>
        <w:spacing w:after="0" w:afterLines="0" w:line="400" w:lineRule="exact"/>
        <w:jc w:val="left"/>
        <w:rPr>
          <w:rFonts w:hint="eastAsia" w:ascii="黑体" w:hAnsi="黑体" w:eastAsia="黑体" w:cs="黑体"/>
          <w:sz w:val="32"/>
          <w:szCs w:val="32"/>
          <w:highlight w:val="none"/>
          <w:lang w:eastAsia="zh-CN"/>
        </w:rPr>
      </w:pPr>
      <w:r>
        <w:rPr>
          <w:rFonts w:hint="default" w:ascii="Times New Roman" w:hAnsi="Times New Roman" w:eastAsia="仿宋_GB2312" w:cs="Times New Roman"/>
          <w:sz w:val="22"/>
          <w:highlight w:val="none"/>
        </w:rPr>
        <w:t>填表人：        填报日期：          联系电话：            单位负责人签字：</w:t>
      </w:r>
      <w:r>
        <w:rPr>
          <w:rFonts w:hint="default" w:ascii="Times New Roman" w:hAnsi="Times New Roman" w:eastAsia="仿宋_GB2312" w:cs="Times New Roman"/>
          <w:sz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2</w:t>
      </w:r>
    </w:p>
    <w:p w14:paraId="7FEF63D7">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7"/>
        <w:tblW w:w="10079" w:type="dxa"/>
        <w:jc w:val="center"/>
        <w:tblLayout w:type="fixed"/>
        <w:tblCellMar>
          <w:top w:w="0" w:type="dxa"/>
          <w:left w:w="108" w:type="dxa"/>
          <w:bottom w:w="0" w:type="dxa"/>
          <w:right w:w="108" w:type="dxa"/>
        </w:tblCellMar>
      </w:tblPr>
      <w:tblGrid>
        <w:gridCol w:w="1080"/>
        <w:gridCol w:w="1080"/>
        <w:gridCol w:w="1073"/>
        <w:gridCol w:w="1590"/>
        <w:gridCol w:w="1440"/>
        <w:gridCol w:w="1350"/>
        <w:gridCol w:w="660"/>
        <w:gridCol w:w="705"/>
        <w:gridCol w:w="1101"/>
      </w:tblGrid>
      <w:tr w14:paraId="0D42EA95">
        <w:tblPrEx>
          <w:tblCellMar>
            <w:top w:w="0" w:type="dxa"/>
            <w:left w:w="108" w:type="dxa"/>
            <w:bottom w:w="0" w:type="dxa"/>
            <w:right w:w="108" w:type="dxa"/>
          </w:tblCellMar>
        </w:tblPrEx>
        <w:trPr>
          <w:trHeight w:val="515" w:hRule="atLeast"/>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14:paraId="23BB9C6E">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市</w:t>
            </w:r>
            <w:r>
              <w:rPr>
                <w:rFonts w:hint="eastAsia" w:ascii="仿宋_GB2312" w:hAnsi="仿宋_GB2312" w:eastAsia="仿宋_GB2312" w:cs="仿宋_GB2312"/>
                <w:color w:val="000000"/>
                <w:sz w:val="20"/>
                <w:szCs w:val="20"/>
                <w:highlight w:val="none"/>
              </w:rPr>
              <w:t>级预算部门名称</w:t>
            </w:r>
          </w:p>
        </w:tc>
        <w:tc>
          <w:tcPr>
            <w:tcW w:w="8999" w:type="dxa"/>
            <w:gridSpan w:val="8"/>
            <w:tcBorders>
              <w:top w:val="single" w:color="auto" w:sz="4" w:space="0"/>
              <w:left w:val="nil"/>
              <w:bottom w:val="single" w:color="auto" w:sz="4" w:space="0"/>
              <w:right w:val="single" w:color="auto" w:sz="4" w:space="0"/>
            </w:tcBorders>
            <w:noWrap w:val="0"/>
            <w:vAlign w:val="center"/>
          </w:tcPr>
          <w:p w14:paraId="4695FB32">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中共岳阳市君山区委宣传部</w:t>
            </w:r>
          </w:p>
        </w:tc>
      </w:tr>
      <w:tr w14:paraId="3BC0CABA">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14:paraId="13AA42E0">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年度预</w:t>
            </w:r>
          </w:p>
          <w:p w14:paraId="766BB467">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算申请</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53" w:type="dxa"/>
            <w:gridSpan w:val="2"/>
            <w:tcBorders>
              <w:top w:val="nil"/>
              <w:left w:val="nil"/>
              <w:bottom w:val="single" w:color="auto" w:sz="4" w:space="0"/>
              <w:right w:val="single" w:color="auto" w:sz="4" w:space="0"/>
            </w:tcBorders>
            <w:noWrap w:val="0"/>
            <w:vAlign w:val="center"/>
          </w:tcPr>
          <w:p w14:paraId="76A1AA19">
            <w:pPr>
              <w:spacing w:line="240" w:lineRule="exact"/>
              <w:jc w:val="center"/>
              <w:rPr>
                <w:rFonts w:hint="eastAsia" w:ascii="仿宋_GB2312" w:hAnsi="仿宋_GB2312" w:eastAsia="仿宋_GB2312" w:cs="仿宋_GB2312"/>
                <w:sz w:val="20"/>
                <w:szCs w:val="20"/>
                <w:highlight w:val="none"/>
              </w:rPr>
            </w:pPr>
          </w:p>
        </w:tc>
        <w:tc>
          <w:tcPr>
            <w:tcW w:w="1590" w:type="dxa"/>
            <w:tcBorders>
              <w:top w:val="nil"/>
              <w:left w:val="nil"/>
              <w:bottom w:val="single" w:color="auto" w:sz="4" w:space="0"/>
              <w:right w:val="single" w:color="auto" w:sz="4" w:space="0"/>
            </w:tcBorders>
            <w:noWrap w:val="0"/>
            <w:vAlign w:val="center"/>
          </w:tcPr>
          <w:p w14:paraId="2D47D5EA">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年初预算数</w:t>
            </w:r>
          </w:p>
        </w:tc>
        <w:tc>
          <w:tcPr>
            <w:tcW w:w="1440" w:type="dxa"/>
            <w:tcBorders>
              <w:top w:val="nil"/>
              <w:left w:val="nil"/>
              <w:bottom w:val="single" w:color="auto" w:sz="4" w:space="0"/>
              <w:right w:val="single" w:color="auto" w:sz="4" w:space="0"/>
            </w:tcBorders>
            <w:noWrap w:val="0"/>
            <w:vAlign w:val="center"/>
          </w:tcPr>
          <w:p w14:paraId="4AE273D7">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全年预算数</w:t>
            </w:r>
          </w:p>
        </w:tc>
        <w:tc>
          <w:tcPr>
            <w:tcW w:w="1350" w:type="dxa"/>
            <w:tcBorders>
              <w:top w:val="nil"/>
              <w:left w:val="nil"/>
              <w:bottom w:val="single" w:color="auto" w:sz="4" w:space="0"/>
              <w:right w:val="single" w:color="auto" w:sz="4" w:space="0"/>
            </w:tcBorders>
            <w:noWrap w:val="0"/>
            <w:vAlign w:val="center"/>
          </w:tcPr>
          <w:p w14:paraId="40FC7D26">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全年执行数</w:t>
            </w:r>
          </w:p>
        </w:tc>
        <w:tc>
          <w:tcPr>
            <w:tcW w:w="660" w:type="dxa"/>
            <w:tcBorders>
              <w:top w:val="nil"/>
              <w:left w:val="nil"/>
              <w:bottom w:val="single" w:color="auto" w:sz="4" w:space="0"/>
              <w:right w:val="single" w:color="auto" w:sz="4" w:space="0"/>
            </w:tcBorders>
            <w:noWrap w:val="0"/>
            <w:vAlign w:val="center"/>
          </w:tcPr>
          <w:p w14:paraId="29318C61">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705" w:type="dxa"/>
            <w:tcBorders>
              <w:top w:val="nil"/>
              <w:left w:val="nil"/>
              <w:bottom w:val="single" w:color="auto" w:sz="4" w:space="0"/>
              <w:right w:val="single" w:color="auto" w:sz="4" w:space="0"/>
            </w:tcBorders>
            <w:noWrap w:val="0"/>
            <w:vAlign w:val="center"/>
          </w:tcPr>
          <w:p w14:paraId="39096A7B">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101" w:type="dxa"/>
            <w:tcBorders>
              <w:top w:val="nil"/>
              <w:left w:val="nil"/>
              <w:bottom w:val="single" w:color="auto" w:sz="4" w:space="0"/>
              <w:right w:val="single" w:color="auto" w:sz="4" w:space="0"/>
            </w:tcBorders>
            <w:noWrap w:val="0"/>
            <w:vAlign w:val="center"/>
          </w:tcPr>
          <w:p w14:paraId="4297D12F">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14:paraId="6A19654F">
        <w:tblPrEx>
          <w:tblCellMar>
            <w:top w:w="0" w:type="dxa"/>
            <w:left w:w="108" w:type="dxa"/>
            <w:bottom w:w="0" w:type="dxa"/>
            <w:right w:w="108" w:type="dxa"/>
          </w:tblCellMar>
        </w:tblPrEx>
        <w:trPr>
          <w:jc w:val="center"/>
        </w:trPr>
        <w:tc>
          <w:tcPr>
            <w:tcW w:w="1080" w:type="dxa"/>
            <w:vMerge w:val="continue"/>
            <w:tcBorders>
              <w:top w:val="nil"/>
              <w:left w:val="single" w:color="auto" w:sz="4" w:space="0"/>
              <w:right w:val="single" w:color="auto" w:sz="4" w:space="0"/>
            </w:tcBorders>
            <w:noWrap w:val="0"/>
            <w:vAlign w:val="center"/>
          </w:tcPr>
          <w:p w14:paraId="391D968A">
            <w:pPr>
              <w:widowControl/>
              <w:spacing w:line="240" w:lineRule="exact"/>
              <w:jc w:val="center"/>
              <w:rPr>
                <w:rFonts w:hint="eastAsia" w:ascii="仿宋_GB2312" w:hAnsi="仿宋_GB2312" w:eastAsia="仿宋_GB2312" w:cs="仿宋_GB2312"/>
                <w:color w:val="000000"/>
                <w:sz w:val="20"/>
                <w:szCs w:val="20"/>
                <w:highlight w:val="none"/>
              </w:rPr>
            </w:pPr>
          </w:p>
        </w:tc>
        <w:tc>
          <w:tcPr>
            <w:tcW w:w="2153" w:type="dxa"/>
            <w:gridSpan w:val="2"/>
            <w:tcBorders>
              <w:top w:val="nil"/>
              <w:left w:val="nil"/>
              <w:bottom w:val="single" w:color="auto" w:sz="4" w:space="0"/>
              <w:right w:val="single" w:color="auto" w:sz="4" w:space="0"/>
            </w:tcBorders>
            <w:noWrap w:val="0"/>
            <w:vAlign w:val="center"/>
          </w:tcPr>
          <w:p w14:paraId="1D6B7498">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年度资金总额</w:t>
            </w:r>
          </w:p>
        </w:tc>
        <w:tc>
          <w:tcPr>
            <w:tcW w:w="1590" w:type="dxa"/>
            <w:tcBorders>
              <w:top w:val="nil"/>
              <w:left w:val="nil"/>
              <w:bottom w:val="single" w:color="auto" w:sz="4" w:space="0"/>
              <w:right w:val="single" w:color="auto" w:sz="4" w:space="0"/>
            </w:tcBorders>
            <w:noWrap w:val="0"/>
            <w:vAlign w:val="center"/>
          </w:tcPr>
          <w:p w14:paraId="5F3D6A56">
            <w:pPr>
              <w:spacing w:line="24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396.29</w:t>
            </w:r>
          </w:p>
        </w:tc>
        <w:tc>
          <w:tcPr>
            <w:tcW w:w="1440" w:type="dxa"/>
            <w:tcBorders>
              <w:top w:val="nil"/>
              <w:left w:val="nil"/>
              <w:bottom w:val="single" w:color="auto" w:sz="4" w:space="0"/>
              <w:right w:val="single" w:color="auto" w:sz="4" w:space="0"/>
            </w:tcBorders>
            <w:noWrap w:val="0"/>
            <w:vAlign w:val="center"/>
          </w:tcPr>
          <w:p w14:paraId="0E0FA5C4">
            <w:pPr>
              <w:spacing w:line="24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lang w:eastAsia="zh-CN"/>
              </w:rPr>
              <w:t>894</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lang w:eastAsia="zh-CN"/>
              </w:rPr>
              <w:t>4</w:t>
            </w:r>
            <w:r>
              <w:rPr>
                <w:rFonts w:hint="eastAsia" w:ascii="仿宋_GB2312" w:hAnsi="仿宋_GB2312" w:eastAsia="仿宋_GB2312" w:cs="仿宋_GB2312"/>
                <w:sz w:val="20"/>
                <w:szCs w:val="20"/>
                <w:highlight w:val="none"/>
                <w:lang w:val="en-US" w:eastAsia="zh-CN"/>
              </w:rPr>
              <w:t>7</w:t>
            </w:r>
          </w:p>
        </w:tc>
        <w:tc>
          <w:tcPr>
            <w:tcW w:w="1350" w:type="dxa"/>
            <w:tcBorders>
              <w:top w:val="nil"/>
              <w:left w:val="nil"/>
              <w:bottom w:val="single" w:color="auto" w:sz="4" w:space="0"/>
              <w:right w:val="single" w:color="auto" w:sz="4" w:space="0"/>
            </w:tcBorders>
            <w:noWrap w:val="0"/>
            <w:vAlign w:val="center"/>
          </w:tcPr>
          <w:p w14:paraId="739B5BB8">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894</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lang w:eastAsia="zh-CN"/>
              </w:rPr>
              <w:t>4</w:t>
            </w:r>
            <w:r>
              <w:rPr>
                <w:rFonts w:hint="eastAsia" w:ascii="仿宋_GB2312" w:hAnsi="仿宋_GB2312" w:eastAsia="仿宋_GB2312" w:cs="仿宋_GB2312"/>
                <w:sz w:val="20"/>
                <w:szCs w:val="20"/>
                <w:highlight w:val="none"/>
                <w:lang w:val="en-US" w:eastAsia="zh-CN"/>
              </w:rPr>
              <w:t>7</w:t>
            </w:r>
          </w:p>
        </w:tc>
        <w:tc>
          <w:tcPr>
            <w:tcW w:w="660" w:type="dxa"/>
            <w:tcBorders>
              <w:top w:val="nil"/>
              <w:left w:val="nil"/>
              <w:bottom w:val="single" w:color="auto" w:sz="4" w:space="0"/>
              <w:right w:val="single" w:color="auto" w:sz="4" w:space="0"/>
            </w:tcBorders>
            <w:noWrap w:val="0"/>
            <w:vAlign w:val="center"/>
          </w:tcPr>
          <w:p w14:paraId="7A66C7F8">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w:t>
            </w:r>
          </w:p>
        </w:tc>
        <w:tc>
          <w:tcPr>
            <w:tcW w:w="705" w:type="dxa"/>
            <w:tcBorders>
              <w:top w:val="nil"/>
              <w:left w:val="nil"/>
              <w:bottom w:val="single" w:color="auto" w:sz="4" w:space="0"/>
              <w:right w:val="single" w:color="auto" w:sz="4" w:space="0"/>
            </w:tcBorders>
            <w:noWrap w:val="0"/>
            <w:vAlign w:val="center"/>
          </w:tcPr>
          <w:p w14:paraId="2C876511">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w:t>
            </w:r>
          </w:p>
        </w:tc>
        <w:tc>
          <w:tcPr>
            <w:tcW w:w="1101" w:type="dxa"/>
            <w:tcBorders>
              <w:top w:val="nil"/>
              <w:left w:val="nil"/>
              <w:bottom w:val="single" w:color="auto" w:sz="4" w:space="0"/>
              <w:right w:val="single" w:color="auto" w:sz="4" w:space="0"/>
            </w:tcBorders>
            <w:noWrap w:val="0"/>
            <w:vAlign w:val="center"/>
          </w:tcPr>
          <w:p w14:paraId="10FAC4FA">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w:t>
            </w:r>
          </w:p>
        </w:tc>
      </w:tr>
      <w:tr w14:paraId="733505E3">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5A9C9C4C">
            <w:pPr>
              <w:widowControl/>
              <w:spacing w:line="240" w:lineRule="exact"/>
              <w:jc w:val="left"/>
              <w:rPr>
                <w:rFonts w:hint="eastAsia" w:ascii="仿宋_GB2312" w:hAnsi="仿宋_GB2312" w:eastAsia="仿宋_GB2312" w:cs="仿宋_GB2312"/>
                <w:color w:val="000000"/>
                <w:sz w:val="20"/>
                <w:szCs w:val="20"/>
                <w:highlight w:val="none"/>
              </w:rPr>
            </w:pPr>
          </w:p>
        </w:tc>
        <w:tc>
          <w:tcPr>
            <w:tcW w:w="5183" w:type="dxa"/>
            <w:gridSpan w:val="4"/>
            <w:tcBorders>
              <w:top w:val="nil"/>
              <w:left w:val="nil"/>
              <w:bottom w:val="single" w:color="auto" w:sz="4" w:space="0"/>
              <w:right w:val="single" w:color="auto" w:sz="4" w:space="0"/>
            </w:tcBorders>
            <w:noWrap w:val="0"/>
            <w:vAlign w:val="center"/>
          </w:tcPr>
          <w:p w14:paraId="735EF2B8">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按收入性质分：</w:t>
            </w:r>
          </w:p>
        </w:tc>
        <w:tc>
          <w:tcPr>
            <w:tcW w:w="3816" w:type="dxa"/>
            <w:gridSpan w:val="4"/>
            <w:tcBorders>
              <w:top w:val="nil"/>
              <w:left w:val="nil"/>
              <w:bottom w:val="single" w:color="auto" w:sz="4" w:space="0"/>
              <w:right w:val="single" w:color="auto" w:sz="4" w:space="0"/>
            </w:tcBorders>
            <w:noWrap w:val="0"/>
            <w:vAlign w:val="center"/>
          </w:tcPr>
          <w:p w14:paraId="75BE80D9">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按支出性质分：</w:t>
            </w:r>
          </w:p>
        </w:tc>
      </w:tr>
      <w:tr w14:paraId="26676BD4">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3061A550">
            <w:pPr>
              <w:widowControl/>
              <w:spacing w:line="240" w:lineRule="exact"/>
              <w:jc w:val="left"/>
              <w:rPr>
                <w:rFonts w:hint="eastAsia" w:ascii="仿宋_GB2312" w:hAnsi="仿宋_GB2312" w:eastAsia="仿宋_GB2312" w:cs="仿宋_GB2312"/>
                <w:color w:val="000000"/>
                <w:sz w:val="20"/>
                <w:szCs w:val="20"/>
                <w:highlight w:val="none"/>
              </w:rPr>
            </w:pPr>
          </w:p>
        </w:tc>
        <w:tc>
          <w:tcPr>
            <w:tcW w:w="5183" w:type="dxa"/>
            <w:gridSpan w:val="4"/>
            <w:tcBorders>
              <w:top w:val="nil"/>
              <w:left w:val="nil"/>
              <w:bottom w:val="single" w:color="auto" w:sz="4" w:space="0"/>
              <w:right w:val="single" w:color="auto" w:sz="4" w:space="0"/>
            </w:tcBorders>
            <w:noWrap w:val="0"/>
            <w:vAlign w:val="center"/>
          </w:tcPr>
          <w:p w14:paraId="051096F7">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 xml:space="preserve">  其中：  一般公共预算：</w:t>
            </w:r>
            <w:r>
              <w:rPr>
                <w:rFonts w:hint="eastAsia" w:ascii="仿宋_GB2312" w:hAnsi="仿宋_GB2312" w:eastAsia="仿宋_GB2312" w:cs="仿宋_GB2312"/>
                <w:sz w:val="20"/>
                <w:szCs w:val="20"/>
                <w:highlight w:val="none"/>
                <w:lang w:eastAsia="zh-CN"/>
              </w:rPr>
              <w:t>894</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lang w:eastAsia="zh-CN"/>
              </w:rPr>
              <w:t>4</w:t>
            </w:r>
            <w:r>
              <w:rPr>
                <w:rFonts w:hint="eastAsia" w:ascii="仿宋_GB2312" w:hAnsi="仿宋_GB2312" w:eastAsia="仿宋_GB2312" w:cs="仿宋_GB2312"/>
                <w:sz w:val="20"/>
                <w:szCs w:val="20"/>
                <w:highlight w:val="none"/>
                <w:lang w:val="en-US" w:eastAsia="zh-CN"/>
              </w:rPr>
              <w:t>7</w:t>
            </w:r>
          </w:p>
        </w:tc>
        <w:tc>
          <w:tcPr>
            <w:tcW w:w="3816" w:type="dxa"/>
            <w:gridSpan w:val="4"/>
            <w:tcBorders>
              <w:top w:val="nil"/>
              <w:left w:val="nil"/>
              <w:bottom w:val="single" w:color="auto" w:sz="4" w:space="0"/>
              <w:right w:val="single" w:color="auto" w:sz="4" w:space="0"/>
            </w:tcBorders>
            <w:noWrap w:val="0"/>
            <w:vAlign w:val="center"/>
          </w:tcPr>
          <w:p w14:paraId="62440CC8">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其中：基本支出：329</w:t>
            </w:r>
            <w:r>
              <w:rPr>
                <w:rFonts w:hint="eastAsia" w:ascii="仿宋_GB2312" w:hAnsi="仿宋_GB2312" w:eastAsia="仿宋_GB2312" w:cs="仿宋_GB2312"/>
                <w:color w:val="000000"/>
                <w:sz w:val="20"/>
                <w:szCs w:val="20"/>
                <w:highlight w:val="none"/>
                <w:lang w:val="en-US" w:eastAsia="zh-CN"/>
              </w:rPr>
              <w:t>.</w:t>
            </w:r>
            <w:r>
              <w:rPr>
                <w:rFonts w:hint="eastAsia" w:ascii="仿宋_GB2312" w:hAnsi="仿宋_GB2312" w:eastAsia="仿宋_GB2312" w:cs="仿宋_GB2312"/>
                <w:color w:val="000000"/>
                <w:sz w:val="20"/>
                <w:szCs w:val="20"/>
                <w:highlight w:val="none"/>
              </w:rPr>
              <w:t>4</w:t>
            </w:r>
            <w:r>
              <w:rPr>
                <w:rFonts w:hint="eastAsia" w:ascii="仿宋_GB2312" w:hAnsi="仿宋_GB2312" w:eastAsia="仿宋_GB2312" w:cs="仿宋_GB2312"/>
                <w:color w:val="000000"/>
                <w:sz w:val="20"/>
                <w:szCs w:val="20"/>
                <w:highlight w:val="none"/>
                <w:lang w:val="en-US" w:eastAsia="zh-CN"/>
              </w:rPr>
              <w:t>7</w:t>
            </w:r>
          </w:p>
        </w:tc>
      </w:tr>
      <w:tr w14:paraId="2CE7BA87">
        <w:tblPrEx>
          <w:tblCellMar>
            <w:top w:w="0" w:type="dxa"/>
            <w:left w:w="108" w:type="dxa"/>
            <w:bottom w:w="0" w:type="dxa"/>
            <w:right w:w="108" w:type="dxa"/>
          </w:tblCellMar>
        </w:tblPrEx>
        <w:trPr>
          <w:trHeight w:val="235" w:hRule="atLeast"/>
          <w:jc w:val="center"/>
        </w:trPr>
        <w:tc>
          <w:tcPr>
            <w:tcW w:w="1080" w:type="dxa"/>
            <w:vMerge w:val="continue"/>
            <w:tcBorders>
              <w:left w:val="single" w:color="auto" w:sz="4" w:space="0"/>
              <w:right w:val="single" w:color="auto" w:sz="4" w:space="0"/>
            </w:tcBorders>
            <w:noWrap w:val="0"/>
            <w:vAlign w:val="center"/>
          </w:tcPr>
          <w:p w14:paraId="55F64950">
            <w:pPr>
              <w:widowControl/>
              <w:spacing w:line="240" w:lineRule="exact"/>
              <w:jc w:val="left"/>
              <w:rPr>
                <w:rFonts w:hint="eastAsia" w:ascii="仿宋_GB2312" w:hAnsi="仿宋_GB2312" w:eastAsia="仿宋_GB2312" w:cs="仿宋_GB2312"/>
                <w:color w:val="000000"/>
                <w:sz w:val="20"/>
                <w:szCs w:val="20"/>
                <w:highlight w:val="none"/>
              </w:rPr>
            </w:pPr>
          </w:p>
        </w:tc>
        <w:tc>
          <w:tcPr>
            <w:tcW w:w="5183" w:type="dxa"/>
            <w:gridSpan w:val="4"/>
            <w:tcBorders>
              <w:top w:val="nil"/>
              <w:left w:val="nil"/>
              <w:bottom w:val="single" w:color="auto" w:sz="4" w:space="0"/>
              <w:right w:val="single" w:color="auto" w:sz="4" w:space="0"/>
            </w:tcBorders>
            <w:noWrap w:val="0"/>
            <w:vAlign w:val="center"/>
          </w:tcPr>
          <w:p w14:paraId="00B5EF70">
            <w:pPr>
              <w:widowControl/>
              <w:spacing w:line="240" w:lineRule="exact"/>
              <w:ind w:firstLine="800" w:firstLineChars="4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政府性基金拨款：</w:t>
            </w:r>
          </w:p>
        </w:tc>
        <w:tc>
          <w:tcPr>
            <w:tcW w:w="3816" w:type="dxa"/>
            <w:gridSpan w:val="4"/>
            <w:tcBorders>
              <w:top w:val="nil"/>
              <w:left w:val="nil"/>
              <w:bottom w:val="single" w:color="auto" w:sz="4" w:space="0"/>
              <w:right w:val="single" w:color="auto" w:sz="4" w:space="0"/>
            </w:tcBorders>
            <w:noWrap w:val="0"/>
            <w:vAlign w:val="center"/>
          </w:tcPr>
          <w:p w14:paraId="524DEE10">
            <w:pPr>
              <w:widowControl/>
              <w:spacing w:line="240" w:lineRule="exact"/>
              <w:ind w:firstLine="600" w:firstLineChars="3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项目支出：</w:t>
            </w:r>
            <w:r>
              <w:rPr>
                <w:rFonts w:hint="eastAsia" w:ascii="仿宋_GB2312" w:hAnsi="仿宋_GB2312" w:eastAsia="仿宋_GB2312" w:cs="仿宋_GB2312"/>
                <w:color w:val="000000"/>
                <w:sz w:val="20"/>
                <w:szCs w:val="20"/>
                <w:highlight w:val="none"/>
                <w:lang w:val="en-US" w:eastAsia="zh-CN"/>
              </w:rPr>
              <w:t>565</w:t>
            </w:r>
          </w:p>
        </w:tc>
      </w:tr>
      <w:tr w14:paraId="68C5F0F9">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5EDC3FBF">
            <w:pPr>
              <w:widowControl/>
              <w:spacing w:line="240" w:lineRule="exact"/>
              <w:jc w:val="left"/>
              <w:rPr>
                <w:rFonts w:hint="eastAsia" w:ascii="仿宋_GB2312" w:hAnsi="仿宋_GB2312" w:eastAsia="仿宋_GB2312" w:cs="仿宋_GB2312"/>
                <w:color w:val="000000"/>
                <w:sz w:val="20"/>
                <w:szCs w:val="20"/>
                <w:highlight w:val="none"/>
              </w:rPr>
            </w:pPr>
          </w:p>
        </w:tc>
        <w:tc>
          <w:tcPr>
            <w:tcW w:w="5183" w:type="dxa"/>
            <w:gridSpan w:val="4"/>
            <w:tcBorders>
              <w:top w:val="nil"/>
              <w:left w:val="nil"/>
              <w:bottom w:val="single" w:color="auto" w:sz="4" w:space="0"/>
              <w:right w:val="single" w:color="auto" w:sz="4" w:space="0"/>
            </w:tcBorders>
            <w:noWrap w:val="0"/>
            <w:vAlign w:val="center"/>
          </w:tcPr>
          <w:p w14:paraId="70A2E6B7">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纳入专户管理的非税收入拨款：</w:t>
            </w:r>
          </w:p>
        </w:tc>
        <w:tc>
          <w:tcPr>
            <w:tcW w:w="3816" w:type="dxa"/>
            <w:gridSpan w:val="4"/>
            <w:tcBorders>
              <w:top w:val="nil"/>
              <w:left w:val="nil"/>
              <w:bottom w:val="single" w:color="auto" w:sz="4" w:space="0"/>
              <w:right w:val="single" w:color="auto" w:sz="4" w:space="0"/>
            </w:tcBorders>
            <w:noWrap w:val="0"/>
            <w:vAlign w:val="center"/>
          </w:tcPr>
          <w:p w14:paraId="0BE88FE3">
            <w:pPr>
              <w:widowControl/>
              <w:spacing w:line="240" w:lineRule="exact"/>
              <w:jc w:val="left"/>
              <w:rPr>
                <w:rFonts w:hint="eastAsia" w:ascii="仿宋_GB2312" w:hAnsi="仿宋_GB2312" w:eastAsia="仿宋_GB2312" w:cs="仿宋_GB2312"/>
                <w:color w:val="000000"/>
                <w:sz w:val="20"/>
                <w:szCs w:val="20"/>
                <w:highlight w:val="none"/>
              </w:rPr>
            </w:pPr>
          </w:p>
        </w:tc>
      </w:tr>
      <w:tr w14:paraId="22CF5E77">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000000" w:sz="4" w:space="0"/>
              <w:right w:val="single" w:color="auto" w:sz="4" w:space="0"/>
            </w:tcBorders>
            <w:noWrap w:val="0"/>
            <w:vAlign w:val="center"/>
          </w:tcPr>
          <w:p w14:paraId="7D3FB727">
            <w:pPr>
              <w:widowControl/>
              <w:spacing w:line="240" w:lineRule="exact"/>
              <w:jc w:val="left"/>
              <w:rPr>
                <w:rFonts w:hint="eastAsia" w:ascii="仿宋_GB2312" w:hAnsi="仿宋_GB2312" w:eastAsia="仿宋_GB2312" w:cs="仿宋_GB2312"/>
                <w:color w:val="000000"/>
                <w:sz w:val="20"/>
                <w:szCs w:val="20"/>
                <w:highlight w:val="none"/>
              </w:rPr>
            </w:pPr>
          </w:p>
        </w:tc>
        <w:tc>
          <w:tcPr>
            <w:tcW w:w="5183" w:type="dxa"/>
            <w:gridSpan w:val="4"/>
            <w:tcBorders>
              <w:top w:val="nil"/>
              <w:left w:val="nil"/>
              <w:bottom w:val="single" w:color="auto" w:sz="4" w:space="0"/>
              <w:right w:val="single" w:color="auto" w:sz="4" w:space="0"/>
            </w:tcBorders>
            <w:noWrap w:val="0"/>
            <w:vAlign w:val="center"/>
          </w:tcPr>
          <w:p w14:paraId="74AF7FE2">
            <w:pPr>
              <w:widowControl/>
              <w:spacing w:line="240" w:lineRule="exact"/>
              <w:ind w:firstLine="1400" w:firstLineChars="7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3816" w:type="dxa"/>
            <w:gridSpan w:val="4"/>
            <w:tcBorders>
              <w:top w:val="nil"/>
              <w:left w:val="nil"/>
              <w:bottom w:val="single" w:color="auto" w:sz="4" w:space="0"/>
              <w:right w:val="single" w:color="auto" w:sz="4" w:space="0"/>
            </w:tcBorders>
            <w:noWrap w:val="0"/>
            <w:vAlign w:val="center"/>
          </w:tcPr>
          <w:p w14:paraId="1EE2EF4B">
            <w:pPr>
              <w:widowControl/>
              <w:spacing w:line="240" w:lineRule="exact"/>
              <w:jc w:val="left"/>
              <w:rPr>
                <w:rFonts w:hint="eastAsia" w:ascii="仿宋_GB2312" w:hAnsi="仿宋_GB2312" w:eastAsia="仿宋_GB2312" w:cs="仿宋_GB2312"/>
                <w:color w:val="000000"/>
                <w:sz w:val="20"/>
                <w:szCs w:val="20"/>
                <w:highlight w:val="none"/>
              </w:rPr>
            </w:pPr>
          </w:p>
        </w:tc>
      </w:tr>
      <w:tr w14:paraId="6DDCA555">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14:paraId="52E1A73B">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5183" w:type="dxa"/>
            <w:gridSpan w:val="4"/>
            <w:tcBorders>
              <w:top w:val="single" w:color="auto" w:sz="4" w:space="0"/>
              <w:left w:val="nil"/>
              <w:bottom w:val="single" w:color="auto" w:sz="4" w:space="0"/>
              <w:right w:val="single" w:color="000000" w:sz="4" w:space="0"/>
            </w:tcBorders>
            <w:noWrap w:val="0"/>
            <w:vAlign w:val="center"/>
          </w:tcPr>
          <w:p w14:paraId="140973D8">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3816" w:type="dxa"/>
            <w:gridSpan w:val="4"/>
            <w:tcBorders>
              <w:top w:val="single" w:color="auto" w:sz="4" w:space="0"/>
              <w:left w:val="nil"/>
              <w:bottom w:val="single" w:color="auto" w:sz="4" w:space="0"/>
              <w:right w:val="single" w:color="auto" w:sz="4" w:space="0"/>
            </w:tcBorders>
            <w:noWrap w:val="0"/>
            <w:vAlign w:val="center"/>
          </w:tcPr>
          <w:p w14:paraId="5102114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14:paraId="5A0E3D0F">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70201DA9">
            <w:pPr>
              <w:widowControl/>
              <w:spacing w:line="240" w:lineRule="exact"/>
              <w:jc w:val="left"/>
              <w:rPr>
                <w:rFonts w:hint="eastAsia" w:ascii="仿宋_GB2312" w:hAnsi="仿宋_GB2312" w:eastAsia="仿宋_GB2312" w:cs="仿宋_GB2312"/>
                <w:color w:val="000000"/>
                <w:sz w:val="20"/>
                <w:szCs w:val="20"/>
                <w:highlight w:val="none"/>
              </w:rPr>
            </w:pPr>
          </w:p>
        </w:tc>
        <w:tc>
          <w:tcPr>
            <w:tcW w:w="5183" w:type="dxa"/>
            <w:gridSpan w:val="4"/>
            <w:tcBorders>
              <w:top w:val="single" w:color="auto" w:sz="4" w:space="0"/>
              <w:left w:val="nil"/>
              <w:bottom w:val="single" w:color="auto" w:sz="4" w:space="0"/>
              <w:right w:val="single" w:color="000000" w:sz="4" w:space="0"/>
            </w:tcBorders>
            <w:noWrap w:val="0"/>
            <w:vAlign w:val="top"/>
          </w:tcPr>
          <w:p w14:paraId="23366F30">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推行预算绩效管理，强化对资金使用情况的预算约束和监督，围绕部门职责，积极推动各项工作任务的落实见效，提高财政资金的作用效能，促进管理效能的大力提升。</w:t>
            </w:r>
          </w:p>
        </w:tc>
        <w:tc>
          <w:tcPr>
            <w:tcW w:w="3816" w:type="dxa"/>
            <w:gridSpan w:val="4"/>
            <w:tcBorders>
              <w:top w:val="single" w:color="auto" w:sz="4" w:space="0"/>
              <w:left w:val="nil"/>
              <w:bottom w:val="single" w:color="auto" w:sz="4" w:space="0"/>
              <w:right w:val="single" w:color="auto" w:sz="4" w:space="0"/>
            </w:tcBorders>
            <w:noWrap w:val="0"/>
            <w:vAlign w:val="top"/>
          </w:tcPr>
          <w:p w14:paraId="1EFA9499">
            <w:pPr>
              <w:widowControl/>
              <w:spacing w:line="240" w:lineRule="exact"/>
              <w:jc w:val="both"/>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积极推行预算绩效管理，强化对资金使用情况的预算约束和监督，围绕部门职责，在理论教育上稳打稳扎，在文明建设上常抓常新，在宣传舆论报道上有力有效，在难点工作上突显创新性作为，全力保障党委决策部署落地见效，提高财政资金使用绩效，促进管理效能提升。</w:t>
            </w:r>
            <w:r>
              <w:rPr>
                <w:rFonts w:hint="eastAsia" w:ascii="仿宋_GB2312" w:hAnsi="仿宋_GB2312" w:eastAsia="仿宋_GB2312" w:cs="仿宋_GB2312"/>
                <w:kern w:val="2"/>
                <w:sz w:val="32"/>
                <w:szCs w:val="32"/>
                <w:highlight w:val="none"/>
                <w:lang w:val="en-US" w:eastAsia="zh-CN" w:bidi="ar-SA"/>
              </w:rPr>
              <w:t>　</w:t>
            </w:r>
          </w:p>
        </w:tc>
      </w:tr>
      <w:tr w14:paraId="73AF9998">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14:paraId="0114806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14:paraId="168964BF">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14:paraId="55DCBF9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14:paraId="7F3EE85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p w14:paraId="41638E59">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tcBorders>
              <w:top w:val="nil"/>
              <w:left w:val="nil"/>
              <w:bottom w:val="single" w:color="auto" w:sz="4" w:space="0"/>
              <w:right w:val="single" w:color="auto" w:sz="4" w:space="0"/>
            </w:tcBorders>
            <w:noWrap w:val="0"/>
            <w:vAlign w:val="center"/>
          </w:tcPr>
          <w:p w14:paraId="35667099">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73" w:type="dxa"/>
            <w:tcBorders>
              <w:top w:val="nil"/>
              <w:left w:val="nil"/>
              <w:bottom w:val="single" w:color="auto" w:sz="4" w:space="0"/>
              <w:right w:val="single" w:color="auto" w:sz="4" w:space="0"/>
            </w:tcBorders>
            <w:noWrap w:val="0"/>
            <w:vAlign w:val="center"/>
          </w:tcPr>
          <w:p w14:paraId="3392BC97">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590" w:type="dxa"/>
            <w:tcBorders>
              <w:top w:val="nil"/>
              <w:left w:val="nil"/>
              <w:bottom w:val="single" w:color="auto" w:sz="4" w:space="0"/>
              <w:right w:val="single" w:color="auto" w:sz="4" w:space="0"/>
            </w:tcBorders>
            <w:noWrap w:val="0"/>
            <w:vAlign w:val="center"/>
          </w:tcPr>
          <w:p w14:paraId="2CE70C38">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440" w:type="dxa"/>
            <w:tcBorders>
              <w:top w:val="nil"/>
              <w:left w:val="nil"/>
              <w:bottom w:val="single" w:color="auto" w:sz="4" w:space="0"/>
              <w:right w:val="single" w:color="auto" w:sz="4" w:space="0"/>
            </w:tcBorders>
            <w:noWrap w:val="0"/>
            <w:vAlign w:val="center"/>
          </w:tcPr>
          <w:p w14:paraId="1F017A34">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年度指标值</w:t>
            </w:r>
          </w:p>
        </w:tc>
        <w:tc>
          <w:tcPr>
            <w:tcW w:w="1350" w:type="dxa"/>
            <w:tcBorders>
              <w:top w:val="nil"/>
              <w:left w:val="nil"/>
              <w:bottom w:val="single" w:color="auto" w:sz="4" w:space="0"/>
              <w:right w:val="single" w:color="auto" w:sz="4" w:space="0"/>
            </w:tcBorders>
            <w:noWrap w:val="0"/>
            <w:vAlign w:val="center"/>
          </w:tcPr>
          <w:p w14:paraId="64A291A1">
            <w:pPr>
              <w:widowControl/>
              <w:spacing w:line="240" w:lineRule="exac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实际完成值</w:t>
            </w:r>
          </w:p>
        </w:tc>
        <w:tc>
          <w:tcPr>
            <w:tcW w:w="660" w:type="dxa"/>
            <w:tcBorders>
              <w:top w:val="nil"/>
              <w:left w:val="nil"/>
              <w:bottom w:val="single" w:color="auto" w:sz="4" w:space="0"/>
              <w:right w:val="single" w:color="auto" w:sz="4" w:space="0"/>
            </w:tcBorders>
            <w:noWrap w:val="0"/>
            <w:vAlign w:val="center"/>
          </w:tcPr>
          <w:p w14:paraId="5B2B0EC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705" w:type="dxa"/>
            <w:tcBorders>
              <w:top w:val="nil"/>
              <w:left w:val="nil"/>
              <w:bottom w:val="single" w:color="auto" w:sz="4" w:space="0"/>
              <w:right w:val="single" w:color="auto" w:sz="4" w:space="0"/>
            </w:tcBorders>
            <w:noWrap w:val="0"/>
            <w:vAlign w:val="center"/>
          </w:tcPr>
          <w:p w14:paraId="49240DFE">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101" w:type="dxa"/>
            <w:tcBorders>
              <w:top w:val="nil"/>
              <w:left w:val="nil"/>
              <w:bottom w:val="single" w:color="auto" w:sz="4" w:space="0"/>
              <w:right w:val="single" w:color="auto" w:sz="4" w:space="0"/>
            </w:tcBorders>
            <w:noWrap w:val="0"/>
            <w:vAlign w:val="center"/>
          </w:tcPr>
          <w:p w14:paraId="61A84A25">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14:paraId="25F3AC68">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F6F46DF">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14:paraId="6CCEE75F">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14:paraId="347B7806">
            <w:pPr>
              <w:widowControl/>
              <w:spacing w:line="240" w:lineRule="exact"/>
              <w:jc w:val="center"/>
              <w:rPr>
                <w:rFonts w:hint="eastAsia" w:ascii="仿宋_GB2312" w:hAnsi="仿宋_GB2312" w:eastAsia="仿宋_GB2312" w:cs="仿宋_GB2312"/>
                <w:color w:val="000000"/>
                <w:sz w:val="20"/>
                <w:szCs w:val="20"/>
                <w:highlight w:val="none"/>
              </w:rPr>
            </w:pPr>
          </w:p>
          <w:p w14:paraId="0B09D7A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73" w:type="dxa"/>
            <w:vMerge w:val="restart"/>
            <w:tcBorders>
              <w:top w:val="single" w:color="auto" w:sz="4" w:space="0"/>
              <w:left w:val="single" w:color="auto" w:sz="4" w:space="0"/>
              <w:bottom w:val="single" w:color="auto" w:sz="4" w:space="0"/>
              <w:right w:val="single" w:color="auto" w:sz="4" w:space="0"/>
            </w:tcBorders>
            <w:noWrap w:val="0"/>
            <w:vAlign w:val="center"/>
          </w:tcPr>
          <w:p w14:paraId="2876E62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590" w:type="dxa"/>
            <w:tcBorders>
              <w:top w:val="single" w:color="auto" w:sz="4" w:space="0"/>
              <w:left w:val="single" w:color="auto" w:sz="4" w:space="0"/>
              <w:bottom w:val="single" w:color="auto" w:sz="4" w:space="0"/>
              <w:right w:val="single" w:color="auto" w:sz="4" w:space="0"/>
            </w:tcBorders>
            <w:noWrap w:val="0"/>
            <w:vAlign w:val="center"/>
          </w:tcPr>
          <w:p w14:paraId="5624BFEA">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组织区委中心组成员集中理论学习</w:t>
            </w:r>
          </w:p>
        </w:tc>
        <w:tc>
          <w:tcPr>
            <w:tcW w:w="1440" w:type="dxa"/>
            <w:tcBorders>
              <w:top w:val="single" w:color="auto" w:sz="4" w:space="0"/>
              <w:left w:val="single" w:color="auto" w:sz="4" w:space="0"/>
              <w:bottom w:val="single" w:color="auto" w:sz="4" w:space="0"/>
              <w:right w:val="single" w:color="auto" w:sz="4" w:space="0"/>
            </w:tcBorders>
            <w:noWrap w:val="0"/>
            <w:vAlign w:val="center"/>
          </w:tcPr>
          <w:p w14:paraId="4F20F192">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12次</w:t>
            </w:r>
          </w:p>
        </w:tc>
        <w:tc>
          <w:tcPr>
            <w:tcW w:w="1350" w:type="dxa"/>
            <w:tcBorders>
              <w:top w:val="single" w:color="auto" w:sz="4" w:space="0"/>
              <w:left w:val="single" w:color="auto" w:sz="4" w:space="0"/>
              <w:bottom w:val="single" w:color="auto" w:sz="4" w:space="0"/>
              <w:right w:val="single" w:color="auto" w:sz="4" w:space="0"/>
            </w:tcBorders>
            <w:noWrap w:val="0"/>
            <w:vAlign w:val="center"/>
          </w:tcPr>
          <w:p w14:paraId="59FCC15B">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12次</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1EFC8BBA">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single" w:color="auto" w:sz="4" w:space="0"/>
              <w:left w:val="single" w:color="auto" w:sz="4" w:space="0"/>
              <w:bottom w:val="single" w:color="auto" w:sz="4" w:space="0"/>
              <w:right w:val="single" w:color="auto" w:sz="4" w:space="0"/>
            </w:tcBorders>
            <w:noWrap w:val="0"/>
            <w:vAlign w:val="center"/>
          </w:tcPr>
          <w:p w14:paraId="278A0541">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101" w:type="dxa"/>
            <w:tcBorders>
              <w:top w:val="single" w:color="auto" w:sz="4" w:space="0"/>
              <w:left w:val="single" w:color="auto" w:sz="4" w:space="0"/>
              <w:bottom w:val="single" w:color="auto" w:sz="4" w:space="0"/>
              <w:right w:val="single" w:color="auto" w:sz="4" w:space="0"/>
            </w:tcBorders>
            <w:noWrap w:val="0"/>
            <w:vAlign w:val="center"/>
          </w:tcPr>
          <w:p w14:paraId="42709512">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477E8927">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E3E5FEB">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3883DE33">
            <w:pPr>
              <w:spacing w:line="240" w:lineRule="exact"/>
              <w:jc w:val="left"/>
              <w:rPr>
                <w:rFonts w:hint="eastAsia" w:ascii="仿宋_GB2312" w:hAnsi="仿宋_GB2312" w:eastAsia="仿宋_GB2312" w:cs="仿宋_GB2312"/>
                <w:color w:val="000000"/>
                <w:sz w:val="20"/>
                <w:szCs w:val="20"/>
                <w:highlight w:val="none"/>
              </w:rPr>
            </w:pPr>
          </w:p>
        </w:tc>
        <w:tc>
          <w:tcPr>
            <w:tcW w:w="1073" w:type="dxa"/>
            <w:vMerge w:val="continue"/>
            <w:tcBorders>
              <w:top w:val="single" w:color="auto" w:sz="4" w:space="0"/>
              <w:left w:val="single" w:color="auto" w:sz="4" w:space="0"/>
              <w:bottom w:val="single" w:color="auto" w:sz="4" w:space="0"/>
              <w:right w:val="single" w:color="auto" w:sz="4" w:space="0"/>
            </w:tcBorders>
            <w:noWrap w:val="0"/>
            <w:vAlign w:val="center"/>
          </w:tcPr>
          <w:p w14:paraId="4D026389">
            <w:pPr>
              <w:spacing w:line="240" w:lineRule="exact"/>
              <w:jc w:val="center"/>
              <w:rPr>
                <w:rFonts w:hint="eastAsia" w:ascii="仿宋_GB2312" w:hAnsi="仿宋_GB2312" w:eastAsia="仿宋_GB2312" w:cs="仿宋_GB2312"/>
                <w:color w:val="000000"/>
                <w:sz w:val="20"/>
                <w:szCs w:val="20"/>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14:paraId="49D4A25A">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开展基层理论宣讲活动</w:t>
            </w:r>
          </w:p>
        </w:tc>
        <w:tc>
          <w:tcPr>
            <w:tcW w:w="1440" w:type="dxa"/>
            <w:tcBorders>
              <w:top w:val="single" w:color="auto" w:sz="4" w:space="0"/>
              <w:left w:val="single" w:color="auto" w:sz="4" w:space="0"/>
              <w:bottom w:val="single" w:color="auto" w:sz="4" w:space="0"/>
              <w:right w:val="single" w:color="auto" w:sz="4" w:space="0"/>
            </w:tcBorders>
            <w:noWrap w:val="0"/>
            <w:vAlign w:val="center"/>
          </w:tcPr>
          <w:p w14:paraId="0703AC64">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200场次</w:t>
            </w:r>
          </w:p>
        </w:tc>
        <w:tc>
          <w:tcPr>
            <w:tcW w:w="1350" w:type="dxa"/>
            <w:tcBorders>
              <w:top w:val="single" w:color="auto" w:sz="4" w:space="0"/>
              <w:left w:val="single" w:color="auto" w:sz="4" w:space="0"/>
              <w:bottom w:val="single" w:color="auto" w:sz="4" w:space="0"/>
              <w:right w:val="single" w:color="auto" w:sz="4" w:space="0"/>
            </w:tcBorders>
            <w:noWrap w:val="0"/>
            <w:vAlign w:val="center"/>
          </w:tcPr>
          <w:p w14:paraId="43E16FD8">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300场次</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6E1DC786">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single" w:color="auto" w:sz="4" w:space="0"/>
              <w:left w:val="single" w:color="auto" w:sz="4" w:space="0"/>
              <w:bottom w:val="single" w:color="auto" w:sz="4" w:space="0"/>
              <w:right w:val="single" w:color="auto" w:sz="4" w:space="0"/>
            </w:tcBorders>
            <w:noWrap w:val="0"/>
            <w:vAlign w:val="center"/>
          </w:tcPr>
          <w:p w14:paraId="7689FCEF">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101" w:type="dxa"/>
            <w:tcBorders>
              <w:top w:val="single" w:color="auto" w:sz="4" w:space="0"/>
              <w:left w:val="single" w:color="auto" w:sz="4" w:space="0"/>
              <w:bottom w:val="single" w:color="auto" w:sz="4" w:space="0"/>
              <w:right w:val="single" w:color="auto" w:sz="4" w:space="0"/>
            </w:tcBorders>
            <w:noWrap w:val="0"/>
            <w:vAlign w:val="center"/>
          </w:tcPr>
          <w:p w14:paraId="552F35F0">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69ADACE6">
        <w:tblPrEx>
          <w:tblCellMar>
            <w:top w:w="0" w:type="dxa"/>
            <w:left w:w="108" w:type="dxa"/>
            <w:bottom w:w="0" w:type="dxa"/>
            <w:right w:w="108" w:type="dxa"/>
          </w:tblCellMar>
        </w:tblPrEx>
        <w:trPr>
          <w:trHeight w:val="295" w:hRule="atLeast"/>
          <w:jc w:val="center"/>
        </w:trPr>
        <w:tc>
          <w:tcPr>
            <w:tcW w:w="1080" w:type="dxa"/>
            <w:vMerge w:val="continue"/>
            <w:tcBorders>
              <w:left w:val="single" w:color="auto" w:sz="4" w:space="0"/>
              <w:right w:val="single" w:color="auto" w:sz="4" w:space="0"/>
            </w:tcBorders>
            <w:noWrap w:val="0"/>
            <w:vAlign w:val="center"/>
          </w:tcPr>
          <w:p w14:paraId="1720F477">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75688728">
            <w:pPr>
              <w:spacing w:line="240" w:lineRule="exact"/>
              <w:jc w:val="left"/>
              <w:rPr>
                <w:rFonts w:hint="eastAsia" w:ascii="仿宋_GB2312" w:hAnsi="仿宋_GB2312" w:eastAsia="仿宋_GB2312" w:cs="仿宋_GB2312"/>
                <w:color w:val="000000"/>
                <w:sz w:val="20"/>
                <w:szCs w:val="20"/>
                <w:highlight w:val="none"/>
              </w:rPr>
            </w:pPr>
          </w:p>
        </w:tc>
        <w:tc>
          <w:tcPr>
            <w:tcW w:w="1073" w:type="dxa"/>
            <w:vMerge w:val="continue"/>
            <w:tcBorders>
              <w:top w:val="single" w:color="auto" w:sz="4" w:space="0"/>
              <w:left w:val="single" w:color="auto" w:sz="4" w:space="0"/>
              <w:bottom w:val="single" w:color="auto" w:sz="4" w:space="0"/>
              <w:right w:val="single" w:color="auto" w:sz="4" w:space="0"/>
            </w:tcBorders>
            <w:noWrap w:val="0"/>
            <w:vAlign w:val="center"/>
          </w:tcPr>
          <w:p w14:paraId="0B6C3B0B">
            <w:pPr>
              <w:widowControl/>
              <w:spacing w:line="240" w:lineRule="exact"/>
              <w:jc w:val="center"/>
              <w:rPr>
                <w:rFonts w:hint="eastAsia" w:ascii="仿宋_GB2312" w:hAnsi="仿宋_GB2312" w:eastAsia="仿宋_GB2312" w:cs="仿宋_GB2312"/>
                <w:color w:val="000000"/>
                <w:sz w:val="20"/>
                <w:szCs w:val="20"/>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14:paraId="7C19DCF1">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做好舆论引导，组织好重点新闻宣传报道</w:t>
            </w:r>
          </w:p>
        </w:tc>
        <w:tc>
          <w:tcPr>
            <w:tcW w:w="1440" w:type="dxa"/>
            <w:tcBorders>
              <w:top w:val="single" w:color="auto" w:sz="4" w:space="0"/>
              <w:left w:val="single" w:color="auto" w:sz="4" w:space="0"/>
              <w:bottom w:val="single" w:color="auto" w:sz="4" w:space="0"/>
              <w:right w:val="single" w:color="auto" w:sz="4" w:space="0"/>
            </w:tcBorders>
            <w:noWrap w:val="0"/>
            <w:vAlign w:val="center"/>
          </w:tcPr>
          <w:p w14:paraId="19FA834A">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lang w:val="en-US" w:eastAsia="zh-CN"/>
              </w:rPr>
              <w:t>800篇</w:t>
            </w:r>
          </w:p>
        </w:tc>
        <w:tc>
          <w:tcPr>
            <w:tcW w:w="1350" w:type="dxa"/>
            <w:tcBorders>
              <w:top w:val="single" w:color="auto" w:sz="4" w:space="0"/>
              <w:left w:val="single" w:color="auto" w:sz="4" w:space="0"/>
              <w:bottom w:val="single" w:color="auto" w:sz="4" w:space="0"/>
              <w:right w:val="single" w:color="auto" w:sz="4" w:space="0"/>
            </w:tcBorders>
            <w:noWrap w:val="0"/>
            <w:vAlign w:val="center"/>
          </w:tcPr>
          <w:p w14:paraId="439D8757">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882篇</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0C7D4E89">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single" w:color="auto" w:sz="4" w:space="0"/>
              <w:left w:val="single" w:color="auto" w:sz="4" w:space="0"/>
              <w:bottom w:val="single" w:color="auto" w:sz="4" w:space="0"/>
              <w:right w:val="single" w:color="auto" w:sz="4" w:space="0"/>
            </w:tcBorders>
            <w:noWrap w:val="0"/>
            <w:vAlign w:val="center"/>
          </w:tcPr>
          <w:p w14:paraId="47224BB1">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101" w:type="dxa"/>
            <w:tcBorders>
              <w:top w:val="single" w:color="auto" w:sz="4" w:space="0"/>
              <w:left w:val="single" w:color="auto" w:sz="4" w:space="0"/>
              <w:bottom w:val="single" w:color="auto" w:sz="4" w:space="0"/>
              <w:right w:val="single" w:color="auto" w:sz="4" w:space="0"/>
            </w:tcBorders>
            <w:noWrap w:val="0"/>
            <w:vAlign w:val="center"/>
          </w:tcPr>
          <w:p w14:paraId="7BF386A6">
            <w:pPr>
              <w:widowControl/>
              <w:spacing w:line="240" w:lineRule="exact"/>
              <w:jc w:val="left"/>
              <w:rPr>
                <w:rFonts w:hint="eastAsia" w:ascii="仿宋_GB2312" w:hAnsi="仿宋_GB2312" w:eastAsia="仿宋_GB2312" w:cs="仿宋_GB2312"/>
                <w:color w:val="000000"/>
                <w:sz w:val="20"/>
                <w:szCs w:val="20"/>
                <w:highlight w:val="none"/>
              </w:rPr>
            </w:pPr>
          </w:p>
        </w:tc>
      </w:tr>
      <w:tr w14:paraId="0E1F7E2E">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235AB66D">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3A50F230">
            <w:pPr>
              <w:spacing w:line="240" w:lineRule="exact"/>
              <w:jc w:val="left"/>
              <w:rPr>
                <w:rFonts w:hint="eastAsia" w:ascii="仿宋_GB2312" w:hAnsi="仿宋_GB2312" w:eastAsia="仿宋_GB2312" w:cs="仿宋_GB2312"/>
                <w:color w:val="000000"/>
                <w:sz w:val="20"/>
                <w:szCs w:val="20"/>
                <w:highlight w:val="none"/>
              </w:rPr>
            </w:pPr>
          </w:p>
        </w:tc>
        <w:tc>
          <w:tcPr>
            <w:tcW w:w="1073" w:type="dxa"/>
            <w:vMerge w:val="continue"/>
            <w:tcBorders>
              <w:top w:val="single" w:color="auto" w:sz="4" w:space="0"/>
              <w:left w:val="single" w:color="auto" w:sz="4" w:space="0"/>
              <w:bottom w:val="single" w:color="auto" w:sz="4" w:space="0"/>
              <w:right w:val="single" w:color="auto" w:sz="4" w:space="0"/>
            </w:tcBorders>
            <w:noWrap w:val="0"/>
            <w:vAlign w:val="center"/>
          </w:tcPr>
          <w:p w14:paraId="3E350E27">
            <w:pPr>
              <w:widowControl/>
              <w:spacing w:line="240" w:lineRule="exact"/>
              <w:jc w:val="center"/>
              <w:rPr>
                <w:rFonts w:hint="eastAsia" w:ascii="仿宋_GB2312" w:hAnsi="仿宋_GB2312" w:eastAsia="仿宋_GB2312" w:cs="仿宋_GB2312"/>
                <w:color w:val="000000"/>
                <w:sz w:val="20"/>
                <w:szCs w:val="20"/>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14:paraId="5BDBE146">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开展“扫黄打非”各类专项整治活动</w:t>
            </w:r>
          </w:p>
        </w:tc>
        <w:tc>
          <w:tcPr>
            <w:tcW w:w="1440" w:type="dxa"/>
            <w:tcBorders>
              <w:top w:val="single" w:color="auto" w:sz="4" w:space="0"/>
              <w:left w:val="single" w:color="auto" w:sz="4" w:space="0"/>
              <w:bottom w:val="single" w:color="auto" w:sz="4" w:space="0"/>
              <w:right w:val="single" w:color="auto" w:sz="4" w:space="0"/>
            </w:tcBorders>
            <w:noWrap w:val="0"/>
            <w:vAlign w:val="center"/>
          </w:tcPr>
          <w:p w14:paraId="23986ACF">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lang w:val="en-US" w:eastAsia="zh-CN"/>
              </w:rPr>
              <w:t xml:space="preserve"> 4次</w:t>
            </w:r>
          </w:p>
        </w:tc>
        <w:tc>
          <w:tcPr>
            <w:tcW w:w="1350" w:type="dxa"/>
            <w:tcBorders>
              <w:top w:val="single" w:color="auto" w:sz="4" w:space="0"/>
              <w:left w:val="single" w:color="auto" w:sz="4" w:space="0"/>
              <w:bottom w:val="single" w:color="auto" w:sz="4" w:space="0"/>
              <w:right w:val="single" w:color="auto" w:sz="4" w:space="0"/>
            </w:tcBorders>
            <w:noWrap w:val="0"/>
            <w:vAlign w:val="center"/>
          </w:tcPr>
          <w:p w14:paraId="2112E4C9">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8次</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78C11BF0">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single" w:color="auto" w:sz="4" w:space="0"/>
              <w:left w:val="single" w:color="auto" w:sz="4" w:space="0"/>
              <w:bottom w:val="single" w:color="auto" w:sz="4" w:space="0"/>
              <w:right w:val="single" w:color="auto" w:sz="4" w:space="0"/>
            </w:tcBorders>
            <w:noWrap w:val="0"/>
            <w:vAlign w:val="center"/>
          </w:tcPr>
          <w:p w14:paraId="08DA6B82">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101" w:type="dxa"/>
            <w:tcBorders>
              <w:top w:val="single" w:color="auto" w:sz="4" w:space="0"/>
              <w:left w:val="single" w:color="auto" w:sz="4" w:space="0"/>
              <w:bottom w:val="single" w:color="auto" w:sz="4" w:space="0"/>
              <w:right w:val="single" w:color="auto" w:sz="4" w:space="0"/>
            </w:tcBorders>
            <w:noWrap w:val="0"/>
            <w:vAlign w:val="center"/>
          </w:tcPr>
          <w:p w14:paraId="2A6D8F1A">
            <w:pPr>
              <w:widowControl/>
              <w:spacing w:line="240" w:lineRule="exact"/>
              <w:jc w:val="left"/>
              <w:rPr>
                <w:rFonts w:hint="eastAsia" w:ascii="仿宋_GB2312" w:hAnsi="仿宋_GB2312" w:eastAsia="仿宋_GB2312" w:cs="仿宋_GB2312"/>
                <w:color w:val="000000"/>
                <w:sz w:val="20"/>
                <w:szCs w:val="20"/>
                <w:highlight w:val="none"/>
              </w:rPr>
            </w:pPr>
          </w:p>
        </w:tc>
      </w:tr>
      <w:tr w14:paraId="68D4BAAF">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07390CBF">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3B51C528">
            <w:pPr>
              <w:spacing w:line="240" w:lineRule="exact"/>
              <w:jc w:val="left"/>
              <w:rPr>
                <w:rFonts w:hint="eastAsia" w:ascii="仿宋_GB2312" w:hAnsi="仿宋_GB2312" w:eastAsia="仿宋_GB2312" w:cs="仿宋_GB2312"/>
                <w:color w:val="000000"/>
                <w:sz w:val="20"/>
                <w:szCs w:val="20"/>
                <w:highlight w:val="none"/>
              </w:rPr>
            </w:pPr>
          </w:p>
        </w:tc>
        <w:tc>
          <w:tcPr>
            <w:tcW w:w="1073" w:type="dxa"/>
            <w:vMerge w:val="continue"/>
            <w:tcBorders>
              <w:top w:val="single" w:color="auto" w:sz="4" w:space="0"/>
              <w:left w:val="single" w:color="auto" w:sz="4" w:space="0"/>
              <w:bottom w:val="single" w:color="auto" w:sz="4" w:space="0"/>
              <w:right w:val="single" w:color="auto" w:sz="4" w:space="0"/>
            </w:tcBorders>
            <w:noWrap w:val="0"/>
            <w:vAlign w:val="center"/>
          </w:tcPr>
          <w:p w14:paraId="0E1268D7">
            <w:pPr>
              <w:widowControl/>
              <w:spacing w:line="240" w:lineRule="exact"/>
              <w:jc w:val="center"/>
              <w:rPr>
                <w:rFonts w:hint="eastAsia" w:ascii="仿宋_GB2312" w:hAnsi="仿宋_GB2312" w:eastAsia="仿宋_GB2312" w:cs="仿宋_GB2312"/>
                <w:color w:val="000000"/>
                <w:sz w:val="20"/>
                <w:szCs w:val="20"/>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14:paraId="0BDAC380">
            <w:pPr>
              <w:widowControl/>
              <w:spacing w:line="240" w:lineRule="exact"/>
              <w:jc w:val="both"/>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开展检查督促活动</w:t>
            </w:r>
          </w:p>
        </w:tc>
        <w:tc>
          <w:tcPr>
            <w:tcW w:w="1440" w:type="dxa"/>
            <w:tcBorders>
              <w:top w:val="single" w:color="auto" w:sz="4" w:space="0"/>
              <w:left w:val="single" w:color="auto" w:sz="4" w:space="0"/>
              <w:bottom w:val="single" w:color="auto" w:sz="4" w:space="0"/>
              <w:right w:val="single" w:color="auto" w:sz="4" w:space="0"/>
            </w:tcBorders>
            <w:noWrap w:val="0"/>
            <w:vAlign w:val="center"/>
          </w:tcPr>
          <w:p w14:paraId="2EC42341">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lang w:val="en-US" w:eastAsia="zh-CN"/>
              </w:rPr>
              <w:t xml:space="preserve"> 2次</w:t>
            </w:r>
          </w:p>
        </w:tc>
        <w:tc>
          <w:tcPr>
            <w:tcW w:w="1350" w:type="dxa"/>
            <w:tcBorders>
              <w:top w:val="single" w:color="auto" w:sz="4" w:space="0"/>
              <w:left w:val="single" w:color="auto" w:sz="4" w:space="0"/>
              <w:bottom w:val="single" w:color="auto" w:sz="4" w:space="0"/>
              <w:right w:val="single" w:color="auto" w:sz="4" w:space="0"/>
            </w:tcBorders>
            <w:noWrap w:val="0"/>
            <w:vAlign w:val="center"/>
          </w:tcPr>
          <w:p w14:paraId="47246640">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4次</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6FE34DC0">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w:t>
            </w:r>
          </w:p>
        </w:tc>
        <w:tc>
          <w:tcPr>
            <w:tcW w:w="705" w:type="dxa"/>
            <w:tcBorders>
              <w:top w:val="single" w:color="auto" w:sz="4" w:space="0"/>
              <w:left w:val="single" w:color="auto" w:sz="4" w:space="0"/>
              <w:bottom w:val="single" w:color="auto" w:sz="4" w:space="0"/>
              <w:right w:val="single" w:color="auto" w:sz="4" w:space="0"/>
            </w:tcBorders>
            <w:noWrap w:val="0"/>
            <w:vAlign w:val="center"/>
          </w:tcPr>
          <w:p w14:paraId="0306D82C">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w:t>
            </w:r>
          </w:p>
        </w:tc>
        <w:tc>
          <w:tcPr>
            <w:tcW w:w="1101" w:type="dxa"/>
            <w:tcBorders>
              <w:top w:val="single" w:color="auto" w:sz="4" w:space="0"/>
              <w:left w:val="single" w:color="auto" w:sz="4" w:space="0"/>
              <w:bottom w:val="single" w:color="auto" w:sz="4" w:space="0"/>
              <w:right w:val="single" w:color="auto" w:sz="4" w:space="0"/>
            </w:tcBorders>
            <w:noWrap w:val="0"/>
            <w:vAlign w:val="center"/>
          </w:tcPr>
          <w:p w14:paraId="05402C56">
            <w:pPr>
              <w:widowControl/>
              <w:spacing w:line="240" w:lineRule="exact"/>
              <w:jc w:val="left"/>
              <w:rPr>
                <w:rFonts w:hint="eastAsia" w:ascii="仿宋_GB2312" w:hAnsi="仿宋_GB2312" w:eastAsia="仿宋_GB2312" w:cs="仿宋_GB2312"/>
                <w:color w:val="000000"/>
                <w:sz w:val="20"/>
                <w:szCs w:val="20"/>
                <w:highlight w:val="none"/>
              </w:rPr>
            </w:pPr>
          </w:p>
        </w:tc>
      </w:tr>
      <w:tr w14:paraId="39895562">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C1B3B8A">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668E2DB0">
            <w:pPr>
              <w:spacing w:line="240" w:lineRule="exact"/>
              <w:jc w:val="left"/>
              <w:rPr>
                <w:rFonts w:hint="eastAsia" w:ascii="仿宋_GB2312" w:hAnsi="仿宋_GB2312" w:eastAsia="仿宋_GB2312" w:cs="仿宋_GB2312"/>
                <w:color w:val="000000"/>
                <w:sz w:val="20"/>
                <w:szCs w:val="20"/>
                <w:highlight w:val="none"/>
              </w:rPr>
            </w:pPr>
          </w:p>
        </w:tc>
        <w:tc>
          <w:tcPr>
            <w:tcW w:w="1073" w:type="dxa"/>
            <w:vMerge w:val="continue"/>
            <w:tcBorders>
              <w:top w:val="single" w:color="auto" w:sz="4" w:space="0"/>
              <w:left w:val="single" w:color="auto" w:sz="4" w:space="0"/>
              <w:bottom w:val="single" w:color="auto" w:sz="4" w:space="0"/>
              <w:right w:val="single" w:color="auto" w:sz="4" w:space="0"/>
            </w:tcBorders>
            <w:noWrap w:val="0"/>
            <w:vAlign w:val="center"/>
          </w:tcPr>
          <w:p w14:paraId="5FF76EFF">
            <w:pPr>
              <w:widowControl/>
              <w:spacing w:line="240" w:lineRule="exact"/>
              <w:jc w:val="center"/>
              <w:rPr>
                <w:rFonts w:hint="eastAsia" w:ascii="仿宋_GB2312" w:hAnsi="仿宋_GB2312" w:eastAsia="仿宋_GB2312" w:cs="仿宋_GB2312"/>
                <w:color w:val="000000"/>
                <w:sz w:val="20"/>
                <w:szCs w:val="20"/>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14:paraId="687BA9EC">
            <w:pPr>
              <w:widowControl/>
              <w:spacing w:line="240" w:lineRule="exact"/>
              <w:jc w:val="both"/>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牵头组织文旅融合发展系列活动</w:t>
            </w:r>
          </w:p>
        </w:tc>
        <w:tc>
          <w:tcPr>
            <w:tcW w:w="1440" w:type="dxa"/>
            <w:tcBorders>
              <w:top w:val="single" w:color="auto" w:sz="4" w:space="0"/>
              <w:left w:val="single" w:color="auto" w:sz="4" w:space="0"/>
              <w:bottom w:val="single" w:color="auto" w:sz="4" w:space="0"/>
              <w:right w:val="single" w:color="auto" w:sz="4" w:space="0"/>
            </w:tcBorders>
            <w:noWrap w:val="0"/>
            <w:vAlign w:val="center"/>
          </w:tcPr>
          <w:p w14:paraId="29F5F522">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lang w:val="en-US" w:eastAsia="zh-CN"/>
              </w:rPr>
              <w:t xml:space="preserve"> 6场次</w:t>
            </w:r>
          </w:p>
        </w:tc>
        <w:tc>
          <w:tcPr>
            <w:tcW w:w="1350" w:type="dxa"/>
            <w:tcBorders>
              <w:top w:val="single" w:color="auto" w:sz="4" w:space="0"/>
              <w:left w:val="single" w:color="auto" w:sz="4" w:space="0"/>
              <w:bottom w:val="single" w:color="auto" w:sz="4" w:space="0"/>
              <w:right w:val="single" w:color="auto" w:sz="4" w:space="0"/>
            </w:tcBorders>
            <w:noWrap w:val="0"/>
            <w:vAlign w:val="center"/>
          </w:tcPr>
          <w:p w14:paraId="01B262A5">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8场次</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388EEE9A">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3</w:t>
            </w:r>
          </w:p>
        </w:tc>
        <w:tc>
          <w:tcPr>
            <w:tcW w:w="705" w:type="dxa"/>
            <w:tcBorders>
              <w:top w:val="single" w:color="auto" w:sz="4" w:space="0"/>
              <w:left w:val="single" w:color="auto" w:sz="4" w:space="0"/>
              <w:bottom w:val="single" w:color="auto" w:sz="4" w:space="0"/>
              <w:right w:val="single" w:color="auto" w:sz="4" w:space="0"/>
            </w:tcBorders>
            <w:noWrap w:val="0"/>
            <w:vAlign w:val="center"/>
          </w:tcPr>
          <w:p w14:paraId="3FEC1FB6">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3</w:t>
            </w:r>
          </w:p>
        </w:tc>
        <w:tc>
          <w:tcPr>
            <w:tcW w:w="1101" w:type="dxa"/>
            <w:tcBorders>
              <w:top w:val="single" w:color="auto" w:sz="4" w:space="0"/>
              <w:left w:val="single" w:color="auto" w:sz="4" w:space="0"/>
              <w:bottom w:val="single" w:color="auto" w:sz="4" w:space="0"/>
              <w:right w:val="single" w:color="auto" w:sz="4" w:space="0"/>
            </w:tcBorders>
            <w:noWrap w:val="0"/>
            <w:vAlign w:val="center"/>
          </w:tcPr>
          <w:p w14:paraId="62C46982">
            <w:pPr>
              <w:widowControl/>
              <w:spacing w:line="240" w:lineRule="exact"/>
              <w:jc w:val="left"/>
              <w:rPr>
                <w:rFonts w:hint="eastAsia" w:ascii="仿宋_GB2312" w:hAnsi="仿宋_GB2312" w:eastAsia="仿宋_GB2312" w:cs="仿宋_GB2312"/>
                <w:color w:val="000000"/>
                <w:sz w:val="20"/>
                <w:szCs w:val="20"/>
                <w:highlight w:val="none"/>
              </w:rPr>
            </w:pPr>
          </w:p>
        </w:tc>
      </w:tr>
      <w:tr w14:paraId="2A37647D">
        <w:tblPrEx>
          <w:tblCellMar>
            <w:top w:w="0" w:type="dxa"/>
            <w:left w:w="108" w:type="dxa"/>
            <w:bottom w:w="0" w:type="dxa"/>
            <w:right w:w="108" w:type="dxa"/>
          </w:tblCellMar>
        </w:tblPrEx>
        <w:trPr>
          <w:trHeight w:val="90" w:hRule="atLeast"/>
          <w:jc w:val="center"/>
        </w:trPr>
        <w:tc>
          <w:tcPr>
            <w:tcW w:w="1080" w:type="dxa"/>
            <w:vMerge w:val="continue"/>
            <w:tcBorders>
              <w:left w:val="single" w:color="auto" w:sz="4" w:space="0"/>
              <w:right w:val="single" w:color="auto" w:sz="4" w:space="0"/>
            </w:tcBorders>
            <w:noWrap w:val="0"/>
            <w:vAlign w:val="center"/>
          </w:tcPr>
          <w:p w14:paraId="47B2782F">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5AEDB125">
            <w:pPr>
              <w:spacing w:line="240" w:lineRule="exact"/>
              <w:jc w:val="left"/>
              <w:rPr>
                <w:rFonts w:hint="eastAsia" w:ascii="仿宋_GB2312" w:hAnsi="仿宋_GB2312" w:eastAsia="仿宋_GB2312" w:cs="仿宋_GB2312"/>
                <w:color w:val="000000"/>
                <w:sz w:val="20"/>
                <w:szCs w:val="20"/>
                <w:highlight w:val="none"/>
              </w:rPr>
            </w:pPr>
          </w:p>
        </w:tc>
        <w:tc>
          <w:tcPr>
            <w:tcW w:w="1073" w:type="dxa"/>
            <w:vMerge w:val="restart"/>
            <w:tcBorders>
              <w:top w:val="single" w:color="auto" w:sz="4" w:space="0"/>
              <w:left w:val="single" w:color="auto" w:sz="4" w:space="0"/>
              <w:bottom w:val="single" w:color="auto" w:sz="4" w:space="0"/>
              <w:right w:val="single" w:color="auto" w:sz="4" w:space="0"/>
            </w:tcBorders>
            <w:noWrap w:val="0"/>
            <w:vAlign w:val="center"/>
          </w:tcPr>
          <w:p w14:paraId="085014CE">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590" w:type="dxa"/>
            <w:tcBorders>
              <w:top w:val="single" w:color="auto" w:sz="4" w:space="0"/>
              <w:left w:val="single" w:color="auto" w:sz="4" w:space="0"/>
              <w:bottom w:val="single" w:color="auto" w:sz="4" w:space="0"/>
              <w:right w:val="single" w:color="auto" w:sz="4" w:space="0"/>
            </w:tcBorders>
            <w:noWrap w:val="0"/>
            <w:vAlign w:val="center"/>
          </w:tcPr>
          <w:p w14:paraId="7F1FDF74">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稿件合格率</w:t>
            </w:r>
          </w:p>
        </w:tc>
        <w:tc>
          <w:tcPr>
            <w:tcW w:w="1440" w:type="dxa"/>
            <w:tcBorders>
              <w:top w:val="single" w:color="auto" w:sz="4" w:space="0"/>
              <w:left w:val="single" w:color="auto" w:sz="4" w:space="0"/>
              <w:bottom w:val="single" w:color="auto" w:sz="4" w:space="0"/>
              <w:right w:val="single" w:color="auto" w:sz="4" w:space="0"/>
            </w:tcBorders>
            <w:noWrap w:val="0"/>
            <w:vAlign w:val="center"/>
          </w:tcPr>
          <w:p w14:paraId="2957C6B9">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w:t>
            </w:r>
            <w:r>
              <w:rPr>
                <w:rFonts w:hint="eastAsia" w:ascii="Arial" w:hAnsi="Arial" w:eastAsia="仿宋_GB2312" w:cs="Arial"/>
                <w:color w:val="000000"/>
                <w:sz w:val="20"/>
                <w:szCs w:val="20"/>
                <w:highlight w:val="none"/>
                <w:lang w:val="en-US" w:eastAsia="zh-CN"/>
              </w:rPr>
              <w:t>98%</w:t>
            </w:r>
          </w:p>
        </w:tc>
        <w:tc>
          <w:tcPr>
            <w:tcW w:w="1350" w:type="dxa"/>
            <w:tcBorders>
              <w:top w:val="single" w:color="auto" w:sz="4" w:space="0"/>
              <w:left w:val="single" w:color="auto" w:sz="4" w:space="0"/>
              <w:bottom w:val="single" w:color="auto" w:sz="4" w:space="0"/>
              <w:right w:val="single" w:color="auto" w:sz="4" w:space="0"/>
            </w:tcBorders>
            <w:noWrap w:val="0"/>
            <w:vAlign w:val="center"/>
          </w:tcPr>
          <w:p w14:paraId="2821A867">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2ACEC30F">
            <w:pPr>
              <w:widowControl/>
              <w:spacing w:line="240" w:lineRule="exact"/>
              <w:jc w:val="center"/>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single" w:color="auto" w:sz="4" w:space="0"/>
              <w:left w:val="single" w:color="auto" w:sz="4" w:space="0"/>
              <w:bottom w:val="single" w:color="auto" w:sz="4" w:space="0"/>
              <w:right w:val="single" w:color="auto" w:sz="4" w:space="0"/>
            </w:tcBorders>
            <w:noWrap w:val="0"/>
            <w:vAlign w:val="center"/>
          </w:tcPr>
          <w:p w14:paraId="73FB62C8">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101" w:type="dxa"/>
            <w:tcBorders>
              <w:top w:val="single" w:color="auto" w:sz="4" w:space="0"/>
              <w:left w:val="single" w:color="auto" w:sz="4" w:space="0"/>
              <w:bottom w:val="single" w:color="auto" w:sz="4" w:space="0"/>
              <w:right w:val="single" w:color="auto" w:sz="4" w:space="0"/>
            </w:tcBorders>
            <w:noWrap w:val="0"/>
            <w:vAlign w:val="center"/>
          </w:tcPr>
          <w:p w14:paraId="77E3CE9A">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F50C1BC">
        <w:tblPrEx>
          <w:tblCellMar>
            <w:top w:w="0" w:type="dxa"/>
            <w:left w:w="108" w:type="dxa"/>
            <w:bottom w:w="0" w:type="dxa"/>
            <w:right w:w="108" w:type="dxa"/>
          </w:tblCellMar>
        </w:tblPrEx>
        <w:trPr>
          <w:trHeight w:val="295" w:hRule="atLeast"/>
          <w:jc w:val="center"/>
        </w:trPr>
        <w:tc>
          <w:tcPr>
            <w:tcW w:w="1080" w:type="dxa"/>
            <w:vMerge w:val="continue"/>
            <w:tcBorders>
              <w:left w:val="single" w:color="auto" w:sz="4" w:space="0"/>
              <w:right w:val="single" w:color="auto" w:sz="4" w:space="0"/>
            </w:tcBorders>
            <w:noWrap w:val="0"/>
            <w:vAlign w:val="center"/>
          </w:tcPr>
          <w:p w14:paraId="4EBA4639">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6EBB005F">
            <w:pPr>
              <w:spacing w:line="240" w:lineRule="exact"/>
              <w:jc w:val="left"/>
              <w:rPr>
                <w:rFonts w:hint="eastAsia" w:ascii="仿宋_GB2312" w:hAnsi="仿宋_GB2312" w:eastAsia="仿宋_GB2312" w:cs="仿宋_GB2312"/>
                <w:color w:val="000000"/>
                <w:sz w:val="20"/>
                <w:szCs w:val="20"/>
                <w:highlight w:val="none"/>
              </w:rPr>
            </w:pPr>
          </w:p>
        </w:tc>
        <w:tc>
          <w:tcPr>
            <w:tcW w:w="1073" w:type="dxa"/>
            <w:vMerge w:val="continue"/>
            <w:tcBorders>
              <w:top w:val="single" w:color="auto" w:sz="4" w:space="0"/>
              <w:left w:val="single" w:color="auto" w:sz="4" w:space="0"/>
              <w:bottom w:val="single" w:color="auto" w:sz="4" w:space="0"/>
              <w:right w:val="single" w:color="auto" w:sz="4" w:space="0"/>
            </w:tcBorders>
            <w:noWrap w:val="0"/>
            <w:vAlign w:val="center"/>
          </w:tcPr>
          <w:p w14:paraId="2F8175BF">
            <w:pPr>
              <w:spacing w:line="240" w:lineRule="exact"/>
              <w:jc w:val="center"/>
              <w:rPr>
                <w:rFonts w:hint="eastAsia" w:ascii="仿宋_GB2312" w:hAnsi="仿宋_GB2312" w:eastAsia="仿宋_GB2312" w:cs="仿宋_GB2312"/>
                <w:color w:val="000000"/>
                <w:sz w:val="20"/>
                <w:szCs w:val="20"/>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14:paraId="192C3E8C">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文稿采用率</w:t>
            </w:r>
          </w:p>
        </w:tc>
        <w:tc>
          <w:tcPr>
            <w:tcW w:w="1440" w:type="dxa"/>
            <w:tcBorders>
              <w:top w:val="single" w:color="auto" w:sz="4" w:space="0"/>
              <w:left w:val="single" w:color="auto" w:sz="4" w:space="0"/>
              <w:bottom w:val="single" w:color="auto" w:sz="4" w:space="0"/>
              <w:right w:val="single" w:color="auto" w:sz="4" w:space="0"/>
            </w:tcBorders>
            <w:noWrap w:val="0"/>
            <w:vAlign w:val="center"/>
          </w:tcPr>
          <w:p w14:paraId="1F75694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w:t>
            </w:r>
            <w:r>
              <w:rPr>
                <w:rFonts w:hint="eastAsia" w:ascii="Arial" w:hAnsi="Arial" w:eastAsia="仿宋_GB2312" w:cs="Arial"/>
                <w:color w:val="000000"/>
                <w:sz w:val="20"/>
                <w:szCs w:val="20"/>
                <w:highlight w:val="none"/>
                <w:lang w:val="en-US" w:eastAsia="zh-CN"/>
              </w:rPr>
              <w:t>98%</w:t>
            </w:r>
          </w:p>
        </w:tc>
        <w:tc>
          <w:tcPr>
            <w:tcW w:w="1350" w:type="dxa"/>
            <w:tcBorders>
              <w:top w:val="single" w:color="auto" w:sz="4" w:space="0"/>
              <w:left w:val="single" w:color="auto" w:sz="4" w:space="0"/>
              <w:bottom w:val="single" w:color="auto" w:sz="4" w:space="0"/>
              <w:right w:val="single" w:color="auto" w:sz="4" w:space="0"/>
            </w:tcBorders>
            <w:noWrap w:val="0"/>
            <w:vAlign w:val="center"/>
          </w:tcPr>
          <w:p w14:paraId="4BF83FD1">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348AFC2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single" w:color="auto" w:sz="4" w:space="0"/>
              <w:left w:val="single" w:color="auto" w:sz="4" w:space="0"/>
              <w:bottom w:val="single" w:color="auto" w:sz="4" w:space="0"/>
              <w:right w:val="single" w:color="auto" w:sz="4" w:space="0"/>
            </w:tcBorders>
            <w:noWrap w:val="0"/>
            <w:vAlign w:val="center"/>
          </w:tcPr>
          <w:p w14:paraId="7FB941F4">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101" w:type="dxa"/>
            <w:tcBorders>
              <w:top w:val="single" w:color="auto" w:sz="4" w:space="0"/>
              <w:left w:val="single" w:color="auto" w:sz="4" w:space="0"/>
              <w:bottom w:val="single" w:color="auto" w:sz="4" w:space="0"/>
              <w:right w:val="single" w:color="auto" w:sz="4" w:space="0"/>
            </w:tcBorders>
            <w:noWrap w:val="0"/>
            <w:vAlign w:val="center"/>
          </w:tcPr>
          <w:p w14:paraId="21621521">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3A248813">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D8EAC59">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188CC5DF">
            <w:pPr>
              <w:spacing w:line="240" w:lineRule="exact"/>
              <w:jc w:val="left"/>
              <w:rPr>
                <w:rFonts w:hint="eastAsia" w:ascii="仿宋_GB2312" w:hAnsi="仿宋_GB2312" w:eastAsia="仿宋_GB2312" w:cs="仿宋_GB2312"/>
                <w:color w:val="000000"/>
                <w:sz w:val="20"/>
                <w:szCs w:val="20"/>
                <w:highlight w:val="none"/>
              </w:rPr>
            </w:pPr>
          </w:p>
        </w:tc>
        <w:tc>
          <w:tcPr>
            <w:tcW w:w="1073" w:type="dxa"/>
            <w:vMerge w:val="continue"/>
            <w:tcBorders>
              <w:top w:val="single" w:color="auto" w:sz="4" w:space="0"/>
              <w:left w:val="single" w:color="auto" w:sz="4" w:space="0"/>
              <w:bottom w:val="single" w:color="auto" w:sz="4" w:space="0"/>
              <w:right w:val="single" w:color="auto" w:sz="4" w:space="0"/>
            </w:tcBorders>
            <w:noWrap w:val="0"/>
            <w:vAlign w:val="center"/>
          </w:tcPr>
          <w:p w14:paraId="55C92321">
            <w:pPr>
              <w:widowControl/>
              <w:spacing w:line="240" w:lineRule="exact"/>
              <w:jc w:val="center"/>
              <w:rPr>
                <w:rFonts w:hint="eastAsia" w:ascii="仿宋_GB2312" w:hAnsi="仿宋_GB2312" w:eastAsia="仿宋_GB2312" w:cs="仿宋_GB2312"/>
                <w:color w:val="000000"/>
                <w:sz w:val="20"/>
                <w:szCs w:val="20"/>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14:paraId="57E1C116">
            <w:pPr>
              <w:widowControl/>
              <w:spacing w:line="240" w:lineRule="exact"/>
              <w:jc w:val="both"/>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问题整改率</w:t>
            </w:r>
          </w:p>
        </w:tc>
        <w:tc>
          <w:tcPr>
            <w:tcW w:w="1440" w:type="dxa"/>
            <w:tcBorders>
              <w:top w:val="single" w:color="auto" w:sz="4" w:space="0"/>
              <w:left w:val="single" w:color="auto" w:sz="4" w:space="0"/>
              <w:bottom w:val="single" w:color="auto" w:sz="4" w:space="0"/>
              <w:right w:val="single" w:color="auto" w:sz="4" w:space="0"/>
            </w:tcBorders>
            <w:noWrap w:val="0"/>
            <w:vAlign w:val="center"/>
          </w:tcPr>
          <w:p w14:paraId="505FED97">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lang w:val="en-US" w:eastAsia="zh-CN"/>
              </w:rPr>
              <w:t>90%</w:t>
            </w:r>
          </w:p>
        </w:tc>
        <w:tc>
          <w:tcPr>
            <w:tcW w:w="1350" w:type="dxa"/>
            <w:tcBorders>
              <w:top w:val="single" w:color="auto" w:sz="4" w:space="0"/>
              <w:left w:val="single" w:color="auto" w:sz="4" w:space="0"/>
              <w:bottom w:val="single" w:color="auto" w:sz="4" w:space="0"/>
              <w:right w:val="single" w:color="auto" w:sz="4" w:space="0"/>
            </w:tcBorders>
            <w:noWrap w:val="0"/>
            <w:vAlign w:val="center"/>
          </w:tcPr>
          <w:p w14:paraId="5F387D1D">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100%</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7DC5F29D">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single" w:color="auto" w:sz="4" w:space="0"/>
              <w:left w:val="single" w:color="auto" w:sz="4" w:space="0"/>
              <w:bottom w:val="single" w:color="auto" w:sz="4" w:space="0"/>
              <w:right w:val="single" w:color="auto" w:sz="4" w:space="0"/>
            </w:tcBorders>
            <w:noWrap w:val="0"/>
            <w:vAlign w:val="center"/>
          </w:tcPr>
          <w:p w14:paraId="7B3B46F7">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101" w:type="dxa"/>
            <w:tcBorders>
              <w:top w:val="single" w:color="auto" w:sz="4" w:space="0"/>
              <w:left w:val="single" w:color="auto" w:sz="4" w:space="0"/>
              <w:bottom w:val="single" w:color="auto" w:sz="4" w:space="0"/>
              <w:right w:val="single" w:color="auto" w:sz="4" w:space="0"/>
            </w:tcBorders>
            <w:noWrap w:val="0"/>
            <w:vAlign w:val="center"/>
          </w:tcPr>
          <w:p w14:paraId="14EF7F07">
            <w:pPr>
              <w:widowControl/>
              <w:spacing w:line="240" w:lineRule="exact"/>
              <w:jc w:val="left"/>
              <w:rPr>
                <w:rFonts w:hint="eastAsia" w:ascii="仿宋_GB2312" w:hAnsi="仿宋_GB2312" w:eastAsia="仿宋_GB2312" w:cs="仿宋_GB2312"/>
                <w:color w:val="000000"/>
                <w:sz w:val="20"/>
                <w:szCs w:val="20"/>
                <w:highlight w:val="none"/>
              </w:rPr>
            </w:pPr>
          </w:p>
        </w:tc>
      </w:tr>
      <w:tr w14:paraId="36B2ABC9">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76971A24">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6CB7CA91">
            <w:pPr>
              <w:spacing w:line="240" w:lineRule="exact"/>
              <w:jc w:val="left"/>
              <w:rPr>
                <w:rFonts w:hint="eastAsia" w:ascii="仿宋_GB2312" w:hAnsi="仿宋_GB2312" w:eastAsia="仿宋_GB2312" w:cs="仿宋_GB2312"/>
                <w:color w:val="000000"/>
                <w:sz w:val="20"/>
                <w:szCs w:val="20"/>
                <w:highlight w:val="none"/>
              </w:rPr>
            </w:pPr>
          </w:p>
        </w:tc>
        <w:tc>
          <w:tcPr>
            <w:tcW w:w="1073" w:type="dxa"/>
            <w:tcBorders>
              <w:top w:val="single" w:color="auto" w:sz="4" w:space="0"/>
              <w:left w:val="single" w:color="auto" w:sz="4" w:space="0"/>
              <w:bottom w:val="single" w:color="auto" w:sz="4" w:space="0"/>
              <w:right w:val="single" w:color="auto" w:sz="4" w:space="0"/>
            </w:tcBorders>
            <w:noWrap w:val="0"/>
            <w:vAlign w:val="center"/>
          </w:tcPr>
          <w:p w14:paraId="3FE5C7D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590" w:type="dxa"/>
            <w:tcBorders>
              <w:top w:val="single" w:color="auto" w:sz="4" w:space="0"/>
              <w:left w:val="single" w:color="auto" w:sz="4" w:space="0"/>
              <w:bottom w:val="single" w:color="auto" w:sz="4" w:space="0"/>
              <w:right w:val="single" w:color="auto" w:sz="4" w:space="0"/>
            </w:tcBorders>
            <w:noWrap w:val="0"/>
            <w:vAlign w:val="center"/>
          </w:tcPr>
          <w:p w14:paraId="1B6419F7">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eastAsia="zh-CN"/>
              </w:rPr>
              <w:t>按</w:t>
            </w:r>
            <w:r>
              <w:rPr>
                <w:rFonts w:hint="eastAsia" w:ascii="仿宋_GB2312" w:hAnsi="仿宋_GB2312" w:eastAsia="仿宋_GB2312" w:cs="仿宋_GB2312"/>
                <w:color w:val="000000"/>
                <w:sz w:val="20"/>
                <w:szCs w:val="20"/>
              </w:rPr>
              <w:t>计划时间完成任务</w:t>
            </w:r>
          </w:p>
        </w:tc>
        <w:tc>
          <w:tcPr>
            <w:tcW w:w="1440" w:type="dxa"/>
            <w:tcBorders>
              <w:top w:val="single" w:color="auto" w:sz="4" w:space="0"/>
              <w:left w:val="single" w:color="auto" w:sz="4" w:space="0"/>
              <w:bottom w:val="single" w:color="auto" w:sz="4" w:space="0"/>
              <w:right w:val="single" w:color="auto" w:sz="4" w:space="0"/>
            </w:tcBorders>
            <w:noWrap w:val="0"/>
            <w:vAlign w:val="center"/>
          </w:tcPr>
          <w:p w14:paraId="1B33CE44">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2023、12、31</w:t>
            </w:r>
          </w:p>
        </w:tc>
        <w:tc>
          <w:tcPr>
            <w:tcW w:w="1350" w:type="dxa"/>
            <w:tcBorders>
              <w:top w:val="single" w:color="auto" w:sz="4" w:space="0"/>
              <w:left w:val="single" w:color="auto" w:sz="4" w:space="0"/>
              <w:bottom w:val="single" w:color="auto" w:sz="4" w:space="0"/>
              <w:right w:val="single" w:color="auto" w:sz="4" w:space="0"/>
            </w:tcBorders>
            <w:noWrap w:val="0"/>
            <w:vAlign w:val="center"/>
          </w:tcPr>
          <w:p w14:paraId="5B6BDC9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2023、12、31</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4DEB149B">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single" w:color="auto" w:sz="4" w:space="0"/>
              <w:left w:val="single" w:color="auto" w:sz="4" w:space="0"/>
              <w:bottom w:val="single" w:color="auto" w:sz="4" w:space="0"/>
              <w:right w:val="single" w:color="auto" w:sz="4" w:space="0"/>
            </w:tcBorders>
            <w:noWrap w:val="0"/>
            <w:vAlign w:val="center"/>
          </w:tcPr>
          <w:p w14:paraId="3A9133ED">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101" w:type="dxa"/>
            <w:tcBorders>
              <w:top w:val="single" w:color="auto" w:sz="4" w:space="0"/>
              <w:left w:val="single" w:color="auto" w:sz="4" w:space="0"/>
              <w:bottom w:val="single" w:color="auto" w:sz="4" w:space="0"/>
              <w:right w:val="single" w:color="auto" w:sz="4" w:space="0"/>
            </w:tcBorders>
            <w:noWrap w:val="0"/>
            <w:vAlign w:val="center"/>
          </w:tcPr>
          <w:p w14:paraId="04E3869F">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5AE552B9">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0852B3C4">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6E90A2CC">
            <w:pPr>
              <w:spacing w:line="240" w:lineRule="exact"/>
              <w:jc w:val="left"/>
              <w:rPr>
                <w:rFonts w:hint="eastAsia" w:ascii="仿宋_GB2312" w:hAnsi="仿宋_GB2312" w:eastAsia="仿宋_GB2312" w:cs="仿宋_GB2312"/>
                <w:color w:val="000000"/>
                <w:sz w:val="20"/>
                <w:szCs w:val="20"/>
                <w:highlight w:val="none"/>
              </w:rPr>
            </w:pPr>
          </w:p>
        </w:tc>
        <w:tc>
          <w:tcPr>
            <w:tcW w:w="1073" w:type="dxa"/>
            <w:tcBorders>
              <w:top w:val="single" w:color="auto" w:sz="4" w:space="0"/>
              <w:left w:val="single" w:color="auto" w:sz="4" w:space="0"/>
              <w:bottom w:val="single" w:color="auto" w:sz="4" w:space="0"/>
              <w:right w:val="single" w:color="auto" w:sz="4" w:space="0"/>
            </w:tcBorders>
            <w:noWrap w:val="0"/>
            <w:vAlign w:val="center"/>
          </w:tcPr>
          <w:p w14:paraId="5A90735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590" w:type="dxa"/>
            <w:tcBorders>
              <w:top w:val="single" w:color="auto" w:sz="4" w:space="0"/>
              <w:left w:val="single" w:color="auto" w:sz="4" w:space="0"/>
              <w:bottom w:val="single" w:color="auto" w:sz="4" w:space="0"/>
              <w:right w:val="single" w:color="auto" w:sz="4" w:space="0"/>
            </w:tcBorders>
            <w:noWrap w:val="0"/>
            <w:vAlign w:val="center"/>
          </w:tcPr>
          <w:p w14:paraId="3978900B">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rPr>
              <w:t>完成任务支出不超过预算批复金额</w:t>
            </w:r>
          </w:p>
        </w:tc>
        <w:tc>
          <w:tcPr>
            <w:tcW w:w="1440" w:type="dxa"/>
            <w:tcBorders>
              <w:top w:val="single" w:color="auto" w:sz="4" w:space="0"/>
              <w:left w:val="single" w:color="auto" w:sz="4" w:space="0"/>
              <w:bottom w:val="single" w:color="auto" w:sz="4" w:space="0"/>
              <w:right w:val="single" w:color="auto" w:sz="4" w:space="0"/>
            </w:tcBorders>
            <w:noWrap w:val="0"/>
            <w:vAlign w:val="center"/>
          </w:tcPr>
          <w:p w14:paraId="1889745F">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default" w:ascii="Arial" w:hAnsi="Arial" w:eastAsia="仿宋_GB2312" w:cs="Arial"/>
                <w:sz w:val="20"/>
                <w:szCs w:val="20"/>
                <w:highlight w:val="none"/>
              </w:rPr>
              <w:t>≤</w:t>
            </w:r>
            <w:r>
              <w:rPr>
                <w:rFonts w:hint="eastAsia" w:ascii="仿宋_GB2312" w:hAnsi="仿宋_GB2312" w:eastAsia="仿宋_GB2312" w:cs="仿宋_GB2312"/>
                <w:sz w:val="20"/>
                <w:szCs w:val="20"/>
                <w:highlight w:val="none"/>
                <w:lang w:eastAsia="zh-CN"/>
              </w:rPr>
              <w:t>894</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lang w:eastAsia="zh-CN"/>
              </w:rPr>
              <w:t>4</w:t>
            </w:r>
            <w:r>
              <w:rPr>
                <w:rFonts w:hint="eastAsia" w:ascii="仿宋_GB2312" w:hAnsi="仿宋_GB2312" w:eastAsia="仿宋_GB2312" w:cs="仿宋_GB2312"/>
                <w:sz w:val="20"/>
                <w:szCs w:val="20"/>
                <w:highlight w:val="none"/>
                <w:lang w:val="en-US" w:eastAsia="zh-CN"/>
              </w:rPr>
              <w:t>7</w:t>
            </w:r>
            <w:r>
              <w:rPr>
                <w:rFonts w:hint="eastAsia" w:ascii="仿宋_GB2312" w:hAnsi="仿宋_GB2312" w:eastAsia="仿宋_GB2312" w:cs="仿宋_GB2312"/>
                <w:color w:val="000000"/>
                <w:sz w:val="20"/>
                <w:szCs w:val="20"/>
                <w:highlight w:val="none"/>
                <w:lang w:val="en-US" w:eastAsia="zh-CN"/>
              </w:rPr>
              <w:t>万元</w:t>
            </w:r>
          </w:p>
        </w:tc>
        <w:tc>
          <w:tcPr>
            <w:tcW w:w="1350" w:type="dxa"/>
            <w:tcBorders>
              <w:top w:val="single" w:color="auto" w:sz="4" w:space="0"/>
              <w:left w:val="single" w:color="auto" w:sz="4" w:space="0"/>
              <w:bottom w:val="single" w:color="auto" w:sz="4" w:space="0"/>
              <w:right w:val="single" w:color="auto" w:sz="4" w:space="0"/>
            </w:tcBorders>
            <w:noWrap w:val="0"/>
            <w:vAlign w:val="center"/>
          </w:tcPr>
          <w:p w14:paraId="163F4DF1">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sz w:val="20"/>
                <w:szCs w:val="20"/>
                <w:highlight w:val="none"/>
                <w:lang w:eastAsia="zh-CN"/>
              </w:rPr>
              <w:t>894</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lang w:eastAsia="zh-CN"/>
              </w:rPr>
              <w:t>4</w:t>
            </w:r>
            <w:r>
              <w:rPr>
                <w:rFonts w:hint="eastAsia" w:ascii="仿宋_GB2312" w:hAnsi="仿宋_GB2312" w:eastAsia="仿宋_GB2312" w:cs="仿宋_GB2312"/>
                <w:sz w:val="20"/>
                <w:szCs w:val="20"/>
                <w:highlight w:val="none"/>
                <w:lang w:val="en-US" w:eastAsia="zh-CN"/>
              </w:rPr>
              <w:t>7</w:t>
            </w:r>
            <w:r>
              <w:rPr>
                <w:rFonts w:hint="eastAsia" w:ascii="仿宋_GB2312" w:hAnsi="仿宋_GB2312" w:eastAsia="仿宋_GB2312" w:cs="仿宋_GB2312"/>
                <w:color w:val="000000"/>
                <w:sz w:val="20"/>
                <w:szCs w:val="20"/>
                <w:highlight w:val="none"/>
                <w:lang w:val="en-US" w:eastAsia="zh-CN"/>
              </w:rPr>
              <w:t>万元</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3A19BBCE">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single" w:color="auto" w:sz="4" w:space="0"/>
              <w:left w:val="single" w:color="auto" w:sz="4" w:space="0"/>
              <w:bottom w:val="single" w:color="auto" w:sz="4" w:space="0"/>
              <w:right w:val="single" w:color="auto" w:sz="4" w:space="0"/>
            </w:tcBorders>
            <w:noWrap w:val="0"/>
            <w:vAlign w:val="center"/>
          </w:tcPr>
          <w:p w14:paraId="68BF6085">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101" w:type="dxa"/>
            <w:tcBorders>
              <w:top w:val="single" w:color="auto" w:sz="4" w:space="0"/>
              <w:left w:val="single" w:color="auto" w:sz="4" w:space="0"/>
              <w:bottom w:val="single" w:color="auto" w:sz="4" w:space="0"/>
              <w:right w:val="single" w:color="auto" w:sz="4" w:space="0"/>
            </w:tcBorders>
            <w:noWrap w:val="0"/>
            <w:vAlign w:val="center"/>
          </w:tcPr>
          <w:p w14:paraId="3F33867B">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691C479E">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A5B9B6B">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14:paraId="3563A0AC">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14:paraId="2A0E938B">
            <w:pPr>
              <w:widowControl/>
              <w:spacing w:line="240" w:lineRule="exact"/>
              <w:jc w:val="left"/>
              <w:rPr>
                <w:rFonts w:hint="eastAsia" w:ascii="仿宋_GB2312" w:hAnsi="仿宋_GB2312" w:eastAsia="仿宋_GB2312" w:cs="仿宋_GB2312"/>
                <w:color w:val="000000"/>
                <w:sz w:val="20"/>
                <w:szCs w:val="20"/>
                <w:highlight w:val="none"/>
              </w:rPr>
            </w:pPr>
          </w:p>
          <w:p w14:paraId="67CE2691">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14:paraId="03C56ADA">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73" w:type="dxa"/>
            <w:tcBorders>
              <w:top w:val="single" w:color="auto" w:sz="4" w:space="0"/>
              <w:left w:val="single" w:color="auto" w:sz="4" w:space="0"/>
              <w:bottom w:val="single" w:color="auto" w:sz="4" w:space="0"/>
              <w:right w:val="single" w:color="auto" w:sz="4" w:space="0"/>
            </w:tcBorders>
            <w:noWrap w:val="0"/>
            <w:vAlign w:val="center"/>
          </w:tcPr>
          <w:p w14:paraId="684E5DA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14:paraId="1F82D52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590" w:type="dxa"/>
            <w:tcBorders>
              <w:top w:val="single" w:color="auto" w:sz="4" w:space="0"/>
              <w:left w:val="single" w:color="auto" w:sz="4" w:space="0"/>
              <w:bottom w:val="single" w:color="auto" w:sz="4" w:space="0"/>
              <w:right w:val="single" w:color="auto" w:sz="4" w:space="0"/>
            </w:tcBorders>
            <w:noWrap w:val="0"/>
            <w:vAlign w:val="center"/>
          </w:tcPr>
          <w:p w14:paraId="3A89FCB4">
            <w:pPr>
              <w:widowControl/>
              <w:spacing w:line="240" w:lineRule="exact"/>
              <w:jc w:val="both"/>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践行新思想、强化新举措，唱响新时代，</w:t>
            </w:r>
            <w:r>
              <w:rPr>
                <w:rFonts w:hint="eastAsia" w:ascii="仿宋_GB2312" w:hAnsi="仿宋_GB2312" w:eastAsia="仿宋_GB2312" w:cs="仿宋_GB2312"/>
                <w:color w:val="000000"/>
                <w:sz w:val="20"/>
                <w:szCs w:val="20"/>
                <w:highlight w:val="none"/>
                <w:lang w:eastAsia="zh-CN"/>
              </w:rPr>
              <w:t>服务经济社会发展</w:t>
            </w:r>
          </w:p>
        </w:tc>
        <w:tc>
          <w:tcPr>
            <w:tcW w:w="1440" w:type="dxa"/>
            <w:tcBorders>
              <w:top w:val="single" w:color="auto" w:sz="4" w:space="0"/>
              <w:left w:val="single" w:color="auto" w:sz="4" w:space="0"/>
              <w:bottom w:val="single" w:color="auto" w:sz="4" w:space="0"/>
              <w:right w:val="single" w:color="auto" w:sz="4" w:space="0"/>
            </w:tcBorders>
            <w:noWrap w:val="0"/>
            <w:vAlign w:val="center"/>
          </w:tcPr>
          <w:p w14:paraId="4E7D120F">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350" w:type="dxa"/>
            <w:tcBorders>
              <w:top w:val="single" w:color="auto" w:sz="4" w:space="0"/>
              <w:left w:val="single" w:color="auto" w:sz="4" w:space="0"/>
              <w:bottom w:val="single" w:color="auto" w:sz="4" w:space="0"/>
              <w:right w:val="single" w:color="auto" w:sz="4" w:space="0"/>
            </w:tcBorders>
            <w:noWrap w:val="0"/>
            <w:vAlign w:val="center"/>
          </w:tcPr>
          <w:p w14:paraId="329F59AC">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52BE1EA2">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705" w:type="dxa"/>
            <w:tcBorders>
              <w:top w:val="single" w:color="auto" w:sz="4" w:space="0"/>
              <w:left w:val="single" w:color="auto" w:sz="4" w:space="0"/>
              <w:bottom w:val="single" w:color="auto" w:sz="4" w:space="0"/>
              <w:right w:val="single" w:color="auto" w:sz="4" w:space="0"/>
            </w:tcBorders>
            <w:noWrap w:val="0"/>
            <w:vAlign w:val="center"/>
          </w:tcPr>
          <w:p w14:paraId="61B62489">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w:t>
            </w:r>
          </w:p>
        </w:tc>
        <w:tc>
          <w:tcPr>
            <w:tcW w:w="1101" w:type="dxa"/>
            <w:tcBorders>
              <w:top w:val="single" w:color="auto" w:sz="4" w:space="0"/>
              <w:left w:val="single" w:color="auto" w:sz="4" w:space="0"/>
              <w:bottom w:val="single" w:color="auto" w:sz="4" w:space="0"/>
              <w:right w:val="single" w:color="auto" w:sz="4" w:space="0"/>
            </w:tcBorders>
            <w:noWrap w:val="0"/>
            <w:vAlign w:val="center"/>
          </w:tcPr>
          <w:p w14:paraId="59BF2088">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422B43D3">
        <w:tblPrEx>
          <w:tblCellMar>
            <w:top w:w="0" w:type="dxa"/>
            <w:left w:w="108" w:type="dxa"/>
            <w:bottom w:w="0" w:type="dxa"/>
            <w:right w:w="108" w:type="dxa"/>
          </w:tblCellMar>
        </w:tblPrEx>
        <w:trPr>
          <w:trHeight w:val="940" w:hRule="atLeast"/>
          <w:jc w:val="center"/>
        </w:trPr>
        <w:tc>
          <w:tcPr>
            <w:tcW w:w="1080" w:type="dxa"/>
            <w:vMerge w:val="continue"/>
            <w:tcBorders>
              <w:left w:val="single" w:color="auto" w:sz="4" w:space="0"/>
              <w:right w:val="single" w:color="auto" w:sz="4" w:space="0"/>
            </w:tcBorders>
            <w:noWrap w:val="0"/>
            <w:vAlign w:val="center"/>
          </w:tcPr>
          <w:p w14:paraId="379334E7">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29076D30">
            <w:pPr>
              <w:spacing w:line="240" w:lineRule="exact"/>
              <w:jc w:val="left"/>
              <w:rPr>
                <w:rFonts w:hint="eastAsia" w:ascii="仿宋_GB2312" w:hAnsi="仿宋_GB2312" w:eastAsia="仿宋_GB2312" w:cs="仿宋_GB2312"/>
                <w:color w:val="000000"/>
                <w:sz w:val="20"/>
                <w:szCs w:val="20"/>
                <w:highlight w:val="none"/>
              </w:rPr>
            </w:pPr>
          </w:p>
        </w:tc>
        <w:tc>
          <w:tcPr>
            <w:tcW w:w="1073" w:type="dxa"/>
            <w:tcBorders>
              <w:top w:val="single" w:color="auto" w:sz="4" w:space="0"/>
              <w:left w:val="single" w:color="auto" w:sz="4" w:space="0"/>
              <w:bottom w:val="single" w:color="auto" w:sz="4" w:space="0"/>
              <w:right w:val="single" w:color="auto" w:sz="4" w:space="0"/>
            </w:tcBorders>
            <w:noWrap w:val="0"/>
            <w:vAlign w:val="center"/>
          </w:tcPr>
          <w:p w14:paraId="356B243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14:paraId="3FA7EC8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590" w:type="dxa"/>
            <w:tcBorders>
              <w:top w:val="single" w:color="auto" w:sz="4" w:space="0"/>
              <w:left w:val="single" w:color="auto" w:sz="4" w:space="0"/>
              <w:bottom w:val="single" w:color="auto" w:sz="4" w:space="0"/>
              <w:right w:val="single" w:color="auto" w:sz="4" w:space="0"/>
            </w:tcBorders>
            <w:noWrap w:val="0"/>
            <w:vAlign w:val="center"/>
          </w:tcPr>
          <w:p w14:paraId="5D95150E">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践行新思想、强化新举措，</w:t>
            </w:r>
            <w:r>
              <w:rPr>
                <w:rFonts w:hint="eastAsia" w:ascii="仿宋_GB2312" w:hAnsi="仿宋_GB2312" w:eastAsia="仿宋_GB2312" w:cs="仿宋_GB2312"/>
                <w:color w:val="000000"/>
                <w:sz w:val="20"/>
                <w:szCs w:val="20"/>
                <w:highlight w:val="none"/>
                <w:lang w:eastAsia="zh-CN"/>
              </w:rPr>
              <w:t>提升人民精神风貌</w:t>
            </w:r>
          </w:p>
        </w:tc>
        <w:tc>
          <w:tcPr>
            <w:tcW w:w="1440" w:type="dxa"/>
            <w:tcBorders>
              <w:top w:val="single" w:color="auto" w:sz="4" w:space="0"/>
              <w:left w:val="single" w:color="auto" w:sz="4" w:space="0"/>
              <w:bottom w:val="single" w:color="auto" w:sz="4" w:space="0"/>
              <w:right w:val="single" w:color="auto" w:sz="4" w:space="0"/>
            </w:tcBorders>
            <w:noWrap w:val="0"/>
            <w:vAlign w:val="center"/>
          </w:tcPr>
          <w:p w14:paraId="097FC9B9">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350" w:type="dxa"/>
            <w:tcBorders>
              <w:top w:val="single" w:color="auto" w:sz="4" w:space="0"/>
              <w:left w:val="single" w:color="auto" w:sz="4" w:space="0"/>
              <w:bottom w:val="single" w:color="auto" w:sz="4" w:space="0"/>
              <w:right w:val="single" w:color="auto" w:sz="4" w:space="0"/>
            </w:tcBorders>
            <w:noWrap w:val="0"/>
            <w:vAlign w:val="center"/>
          </w:tcPr>
          <w:p w14:paraId="73D13DFD">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349BA4EC">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single" w:color="auto" w:sz="4" w:space="0"/>
              <w:left w:val="single" w:color="auto" w:sz="4" w:space="0"/>
              <w:bottom w:val="single" w:color="auto" w:sz="4" w:space="0"/>
              <w:right w:val="single" w:color="auto" w:sz="4" w:space="0"/>
            </w:tcBorders>
            <w:noWrap w:val="0"/>
            <w:vAlign w:val="center"/>
          </w:tcPr>
          <w:p w14:paraId="23D5D24D">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101" w:type="dxa"/>
            <w:tcBorders>
              <w:top w:val="single" w:color="auto" w:sz="4" w:space="0"/>
              <w:left w:val="single" w:color="auto" w:sz="4" w:space="0"/>
              <w:bottom w:val="single" w:color="auto" w:sz="4" w:space="0"/>
              <w:right w:val="single" w:color="auto" w:sz="4" w:space="0"/>
            </w:tcBorders>
            <w:noWrap w:val="0"/>
            <w:vAlign w:val="center"/>
          </w:tcPr>
          <w:p w14:paraId="2BEEFBA3">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27EC6EA">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0761C17E">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17DDD43B">
            <w:pPr>
              <w:spacing w:line="240" w:lineRule="exact"/>
              <w:jc w:val="left"/>
              <w:rPr>
                <w:rFonts w:hint="eastAsia" w:ascii="仿宋_GB2312" w:hAnsi="仿宋_GB2312" w:eastAsia="仿宋_GB2312" w:cs="仿宋_GB2312"/>
                <w:color w:val="000000"/>
                <w:sz w:val="20"/>
                <w:szCs w:val="20"/>
                <w:highlight w:val="none"/>
              </w:rPr>
            </w:pPr>
          </w:p>
        </w:tc>
        <w:tc>
          <w:tcPr>
            <w:tcW w:w="1073" w:type="dxa"/>
            <w:tcBorders>
              <w:top w:val="single" w:color="auto" w:sz="4" w:space="0"/>
              <w:left w:val="single" w:color="auto" w:sz="4" w:space="0"/>
              <w:bottom w:val="single" w:color="auto" w:sz="4" w:space="0"/>
              <w:right w:val="single" w:color="auto" w:sz="4" w:space="0"/>
            </w:tcBorders>
            <w:noWrap w:val="0"/>
            <w:vAlign w:val="center"/>
          </w:tcPr>
          <w:p w14:paraId="664EFEC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14:paraId="4E11965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590" w:type="dxa"/>
            <w:tcBorders>
              <w:top w:val="single" w:color="auto" w:sz="4" w:space="0"/>
              <w:left w:val="single" w:color="auto" w:sz="4" w:space="0"/>
              <w:bottom w:val="single" w:color="auto" w:sz="4" w:space="0"/>
              <w:right w:val="single" w:color="auto" w:sz="4" w:space="0"/>
            </w:tcBorders>
            <w:noWrap w:val="0"/>
            <w:vAlign w:val="center"/>
          </w:tcPr>
          <w:p w14:paraId="7CE5993B">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践行新思想、强化新举措，唱响新时代，</w:t>
            </w:r>
            <w:r>
              <w:rPr>
                <w:rFonts w:hint="eastAsia" w:ascii="仿宋_GB2312" w:hAnsi="仿宋_GB2312" w:eastAsia="仿宋_GB2312" w:cs="仿宋_GB2312"/>
                <w:color w:val="000000"/>
                <w:sz w:val="20"/>
                <w:szCs w:val="20"/>
                <w:highlight w:val="none"/>
                <w:lang w:eastAsia="zh-CN"/>
              </w:rPr>
              <w:t>服务经济社会发展，社会大众的生态意识明显加强。</w:t>
            </w:r>
          </w:p>
        </w:tc>
        <w:tc>
          <w:tcPr>
            <w:tcW w:w="1440" w:type="dxa"/>
            <w:tcBorders>
              <w:top w:val="single" w:color="auto" w:sz="4" w:space="0"/>
              <w:left w:val="single" w:color="auto" w:sz="4" w:space="0"/>
              <w:bottom w:val="single" w:color="auto" w:sz="4" w:space="0"/>
              <w:right w:val="single" w:color="auto" w:sz="4" w:space="0"/>
            </w:tcBorders>
            <w:noWrap w:val="0"/>
            <w:vAlign w:val="center"/>
          </w:tcPr>
          <w:p w14:paraId="775E174C">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350" w:type="dxa"/>
            <w:tcBorders>
              <w:top w:val="single" w:color="auto" w:sz="4" w:space="0"/>
              <w:left w:val="single" w:color="auto" w:sz="4" w:space="0"/>
              <w:bottom w:val="single" w:color="auto" w:sz="4" w:space="0"/>
              <w:right w:val="single" w:color="auto" w:sz="4" w:space="0"/>
            </w:tcBorders>
            <w:noWrap w:val="0"/>
            <w:vAlign w:val="center"/>
          </w:tcPr>
          <w:p w14:paraId="1F30D14C">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782E8505">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705" w:type="dxa"/>
            <w:tcBorders>
              <w:top w:val="single" w:color="auto" w:sz="4" w:space="0"/>
              <w:left w:val="single" w:color="auto" w:sz="4" w:space="0"/>
              <w:bottom w:val="single" w:color="auto" w:sz="4" w:space="0"/>
              <w:right w:val="single" w:color="auto" w:sz="4" w:space="0"/>
            </w:tcBorders>
            <w:noWrap w:val="0"/>
            <w:vAlign w:val="center"/>
          </w:tcPr>
          <w:p w14:paraId="0F82B607">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101" w:type="dxa"/>
            <w:tcBorders>
              <w:top w:val="single" w:color="auto" w:sz="4" w:space="0"/>
              <w:left w:val="single" w:color="auto" w:sz="4" w:space="0"/>
              <w:bottom w:val="single" w:color="auto" w:sz="4" w:space="0"/>
              <w:right w:val="single" w:color="auto" w:sz="4" w:space="0"/>
            </w:tcBorders>
            <w:noWrap w:val="0"/>
            <w:vAlign w:val="center"/>
          </w:tcPr>
          <w:p w14:paraId="177E0339">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2B08EBC4">
        <w:tblPrEx>
          <w:tblCellMar>
            <w:top w:w="0" w:type="dxa"/>
            <w:left w:w="108" w:type="dxa"/>
            <w:bottom w:w="0" w:type="dxa"/>
            <w:right w:w="108" w:type="dxa"/>
          </w:tblCellMar>
        </w:tblPrEx>
        <w:trPr>
          <w:trHeight w:val="290" w:hRule="atLeast"/>
          <w:jc w:val="center"/>
        </w:trPr>
        <w:tc>
          <w:tcPr>
            <w:tcW w:w="1080" w:type="dxa"/>
            <w:vMerge w:val="continue"/>
            <w:tcBorders>
              <w:left w:val="single" w:color="auto" w:sz="4" w:space="0"/>
              <w:right w:val="single" w:color="auto" w:sz="4" w:space="0"/>
            </w:tcBorders>
            <w:noWrap w:val="0"/>
            <w:vAlign w:val="center"/>
          </w:tcPr>
          <w:p w14:paraId="0DD81BC3">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28E3EFB7">
            <w:pPr>
              <w:widowControl/>
              <w:spacing w:line="240" w:lineRule="exact"/>
              <w:jc w:val="left"/>
              <w:rPr>
                <w:rFonts w:hint="eastAsia" w:ascii="仿宋_GB2312" w:hAnsi="仿宋_GB2312" w:eastAsia="仿宋_GB2312" w:cs="仿宋_GB2312"/>
                <w:color w:val="000000"/>
                <w:sz w:val="20"/>
                <w:szCs w:val="20"/>
                <w:highlight w:val="none"/>
              </w:rPr>
            </w:pPr>
          </w:p>
        </w:tc>
        <w:tc>
          <w:tcPr>
            <w:tcW w:w="1073" w:type="dxa"/>
            <w:tcBorders>
              <w:top w:val="single" w:color="auto" w:sz="4" w:space="0"/>
              <w:left w:val="single" w:color="auto" w:sz="4" w:space="0"/>
              <w:bottom w:val="single" w:color="auto" w:sz="4" w:space="0"/>
              <w:right w:val="single" w:color="auto" w:sz="4" w:space="0"/>
            </w:tcBorders>
            <w:noWrap w:val="0"/>
            <w:vAlign w:val="center"/>
          </w:tcPr>
          <w:p w14:paraId="359E8AD9">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590" w:type="dxa"/>
            <w:tcBorders>
              <w:top w:val="single" w:color="auto" w:sz="4" w:space="0"/>
              <w:left w:val="single" w:color="auto" w:sz="4" w:space="0"/>
              <w:bottom w:val="single" w:color="auto" w:sz="4" w:space="0"/>
              <w:right w:val="single" w:color="auto" w:sz="4" w:space="0"/>
            </w:tcBorders>
            <w:noWrap w:val="0"/>
            <w:vAlign w:val="center"/>
          </w:tcPr>
          <w:p w14:paraId="55673635">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践行新思想、强化新举措，唱响新时代，</w:t>
            </w:r>
            <w:r>
              <w:rPr>
                <w:rFonts w:hint="eastAsia" w:ascii="仿宋_GB2312" w:hAnsi="仿宋_GB2312" w:eastAsia="仿宋_GB2312" w:cs="仿宋_GB2312"/>
                <w:color w:val="000000"/>
                <w:sz w:val="20"/>
                <w:szCs w:val="20"/>
                <w:highlight w:val="none"/>
                <w:lang w:eastAsia="zh-CN"/>
              </w:rPr>
              <w:t>服务经济发展，促进社会和谐稳定。</w:t>
            </w:r>
          </w:p>
        </w:tc>
        <w:tc>
          <w:tcPr>
            <w:tcW w:w="1440" w:type="dxa"/>
            <w:tcBorders>
              <w:top w:val="single" w:color="auto" w:sz="4" w:space="0"/>
              <w:left w:val="single" w:color="auto" w:sz="4" w:space="0"/>
              <w:bottom w:val="single" w:color="auto" w:sz="4" w:space="0"/>
              <w:right w:val="single" w:color="auto" w:sz="4" w:space="0"/>
            </w:tcBorders>
            <w:noWrap w:val="0"/>
            <w:vAlign w:val="center"/>
          </w:tcPr>
          <w:p w14:paraId="2974F6D1">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350" w:type="dxa"/>
            <w:tcBorders>
              <w:top w:val="single" w:color="auto" w:sz="4" w:space="0"/>
              <w:left w:val="single" w:color="auto" w:sz="4" w:space="0"/>
              <w:bottom w:val="single" w:color="auto" w:sz="4" w:space="0"/>
              <w:right w:val="single" w:color="auto" w:sz="4" w:space="0"/>
            </w:tcBorders>
            <w:noWrap w:val="0"/>
            <w:vAlign w:val="center"/>
          </w:tcPr>
          <w:p w14:paraId="5B319FE9">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52047212">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705" w:type="dxa"/>
            <w:tcBorders>
              <w:top w:val="single" w:color="auto" w:sz="4" w:space="0"/>
              <w:left w:val="single" w:color="auto" w:sz="4" w:space="0"/>
              <w:bottom w:val="single" w:color="auto" w:sz="4" w:space="0"/>
              <w:right w:val="single" w:color="auto" w:sz="4" w:space="0"/>
            </w:tcBorders>
            <w:noWrap w:val="0"/>
            <w:vAlign w:val="center"/>
          </w:tcPr>
          <w:p w14:paraId="4F2BD7A7">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w:t>
            </w:r>
          </w:p>
        </w:tc>
        <w:tc>
          <w:tcPr>
            <w:tcW w:w="1101" w:type="dxa"/>
            <w:tcBorders>
              <w:top w:val="single" w:color="auto" w:sz="4" w:space="0"/>
              <w:left w:val="single" w:color="auto" w:sz="4" w:space="0"/>
              <w:bottom w:val="single" w:color="auto" w:sz="4" w:space="0"/>
              <w:right w:val="single" w:color="auto" w:sz="4" w:space="0"/>
            </w:tcBorders>
            <w:noWrap w:val="0"/>
            <w:vAlign w:val="center"/>
          </w:tcPr>
          <w:p w14:paraId="35EAB2BC">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6B830D2B">
        <w:tblPrEx>
          <w:tblCellMar>
            <w:top w:w="0" w:type="dxa"/>
            <w:left w:w="108" w:type="dxa"/>
            <w:bottom w:w="0" w:type="dxa"/>
            <w:right w:w="108" w:type="dxa"/>
          </w:tblCellMar>
        </w:tblPrEx>
        <w:trPr>
          <w:trHeight w:val="330" w:hRule="atLeast"/>
          <w:jc w:val="center"/>
        </w:trPr>
        <w:tc>
          <w:tcPr>
            <w:tcW w:w="1080" w:type="dxa"/>
            <w:vMerge w:val="continue"/>
            <w:tcBorders>
              <w:left w:val="single" w:color="auto" w:sz="4" w:space="0"/>
              <w:right w:val="single" w:color="auto" w:sz="4" w:space="0"/>
            </w:tcBorders>
            <w:noWrap w:val="0"/>
            <w:vAlign w:val="center"/>
          </w:tcPr>
          <w:p w14:paraId="0DDDA0E9">
            <w:pPr>
              <w:spacing w:line="240" w:lineRule="exact"/>
              <w:jc w:val="left"/>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14:paraId="76791C8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14:paraId="0802266D">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14:paraId="463F0C49">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73" w:type="dxa"/>
            <w:tcBorders>
              <w:top w:val="single" w:color="auto" w:sz="4" w:space="0"/>
              <w:left w:val="single" w:color="auto" w:sz="4" w:space="0"/>
              <w:bottom w:val="single" w:color="auto" w:sz="4" w:space="0"/>
              <w:right w:val="single" w:color="auto" w:sz="4" w:space="0"/>
            </w:tcBorders>
            <w:noWrap w:val="0"/>
            <w:vAlign w:val="center"/>
          </w:tcPr>
          <w:p w14:paraId="245009AE">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590" w:type="dxa"/>
            <w:tcBorders>
              <w:top w:val="single" w:color="auto" w:sz="4" w:space="0"/>
              <w:left w:val="single" w:color="auto" w:sz="4" w:space="0"/>
              <w:bottom w:val="single" w:color="auto" w:sz="4" w:space="0"/>
              <w:right w:val="single" w:color="auto" w:sz="4" w:space="0"/>
            </w:tcBorders>
            <w:noWrap w:val="0"/>
            <w:vAlign w:val="center"/>
          </w:tcPr>
          <w:p w14:paraId="7E1AB826">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社会公众或服务对象满意度</w:t>
            </w:r>
          </w:p>
        </w:tc>
        <w:tc>
          <w:tcPr>
            <w:tcW w:w="1440" w:type="dxa"/>
            <w:tcBorders>
              <w:top w:val="single" w:color="auto" w:sz="4" w:space="0"/>
              <w:left w:val="single" w:color="auto" w:sz="4" w:space="0"/>
              <w:bottom w:val="single" w:color="auto" w:sz="4" w:space="0"/>
              <w:right w:val="single" w:color="auto" w:sz="4" w:space="0"/>
            </w:tcBorders>
            <w:noWrap w:val="0"/>
            <w:vAlign w:val="center"/>
          </w:tcPr>
          <w:p w14:paraId="44A7FFF2">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95%</w:t>
            </w:r>
          </w:p>
        </w:tc>
        <w:tc>
          <w:tcPr>
            <w:tcW w:w="1350" w:type="dxa"/>
            <w:tcBorders>
              <w:top w:val="single" w:color="auto" w:sz="4" w:space="0"/>
              <w:left w:val="single" w:color="auto" w:sz="4" w:space="0"/>
              <w:bottom w:val="single" w:color="auto" w:sz="4" w:space="0"/>
              <w:right w:val="single" w:color="auto" w:sz="4" w:space="0"/>
            </w:tcBorders>
            <w:noWrap w:val="0"/>
            <w:vAlign w:val="center"/>
          </w:tcPr>
          <w:p w14:paraId="641557D2">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95%</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66E22F0D">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705" w:type="dxa"/>
            <w:tcBorders>
              <w:top w:val="single" w:color="auto" w:sz="4" w:space="0"/>
              <w:left w:val="single" w:color="auto" w:sz="4" w:space="0"/>
              <w:bottom w:val="single" w:color="auto" w:sz="4" w:space="0"/>
              <w:right w:val="single" w:color="auto" w:sz="4" w:space="0"/>
            </w:tcBorders>
            <w:noWrap w:val="0"/>
            <w:vAlign w:val="center"/>
          </w:tcPr>
          <w:p w14:paraId="06A87F1A">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101" w:type="dxa"/>
            <w:tcBorders>
              <w:top w:val="single" w:color="auto" w:sz="4" w:space="0"/>
              <w:left w:val="single" w:color="auto" w:sz="4" w:space="0"/>
              <w:bottom w:val="single" w:color="auto" w:sz="4" w:space="0"/>
              <w:right w:val="single" w:color="auto" w:sz="4" w:space="0"/>
            </w:tcBorders>
            <w:noWrap w:val="0"/>
            <w:vAlign w:val="center"/>
          </w:tcPr>
          <w:p w14:paraId="50F0272D">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4B6CF759">
        <w:tblPrEx>
          <w:tblCellMar>
            <w:top w:w="0" w:type="dxa"/>
            <w:left w:w="108" w:type="dxa"/>
            <w:bottom w:w="0" w:type="dxa"/>
            <w:right w:w="108" w:type="dxa"/>
          </w:tblCellMar>
        </w:tblPrEx>
        <w:trPr>
          <w:trHeight w:val="270" w:hRule="atLeast"/>
          <w:jc w:val="center"/>
        </w:trPr>
        <w:tc>
          <w:tcPr>
            <w:tcW w:w="7613" w:type="dxa"/>
            <w:gridSpan w:val="6"/>
            <w:tcBorders>
              <w:top w:val="single" w:color="auto" w:sz="4" w:space="0"/>
              <w:left w:val="single" w:color="auto" w:sz="4" w:space="0"/>
              <w:bottom w:val="single" w:color="auto" w:sz="4" w:space="0"/>
              <w:right w:val="single" w:color="000000" w:sz="4" w:space="0"/>
            </w:tcBorders>
            <w:noWrap w:val="0"/>
            <w:vAlign w:val="center"/>
          </w:tcPr>
          <w:p w14:paraId="46BEC036">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660" w:type="dxa"/>
            <w:tcBorders>
              <w:top w:val="nil"/>
              <w:left w:val="nil"/>
              <w:bottom w:val="single" w:color="auto" w:sz="4" w:space="0"/>
              <w:right w:val="single" w:color="auto" w:sz="4" w:space="0"/>
            </w:tcBorders>
            <w:noWrap w:val="0"/>
            <w:vAlign w:val="center"/>
          </w:tcPr>
          <w:p w14:paraId="42F6C84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705" w:type="dxa"/>
            <w:tcBorders>
              <w:top w:val="nil"/>
              <w:left w:val="nil"/>
              <w:bottom w:val="single" w:color="auto" w:sz="4" w:space="0"/>
              <w:right w:val="single" w:color="auto" w:sz="4" w:space="0"/>
            </w:tcBorders>
            <w:noWrap w:val="0"/>
            <w:vAlign w:val="center"/>
          </w:tcPr>
          <w:p w14:paraId="26D20F33">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98</w:t>
            </w:r>
          </w:p>
        </w:tc>
        <w:tc>
          <w:tcPr>
            <w:tcW w:w="1101" w:type="dxa"/>
            <w:tcBorders>
              <w:top w:val="nil"/>
              <w:left w:val="nil"/>
              <w:bottom w:val="single" w:color="auto" w:sz="4" w:space="0"/>
              <w:right w:val="single" w:color="auto" w:sz="4" w:space="0"/>
            </w:tcBorders>
            <w:noWrap w:val="0"/>
            <w:vAlign w:val="center"/>
          </w:tcPr>
          <w:p w14:paraId="32AFACEB">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14:paraId="17E981B9">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r>
        <w:rPr>
          <w:rFonts w:hint="default" w:ascii="Times New Roman" w:hAnsi="Times New Roman" w:eastAsia="仿宋_GB2312" w:cs="Times New Roman"/>
          <w:sz w:val="22"/>
          <w:szCs w:val="22"/>
          <w:highlight w:val="none"/>
        </w:rPr>
        <w:t xml:space="preserve">填表人：      填报日期：         联系电话：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单位负责人签字：</w:t>
      </w:r>
    </w:p>
    <w:p w14:paraId="0FA228C7">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p>
    <w:p w14:paraId="58E280E0">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p>
    <w:p w14:paraId="5C585168">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p>
    <w:p w14:paraId="42C025F7">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p>
    <w:p w14:paraId="19683C0D">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p>
    <w:p w14:paraId="7FA6272D">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p>
    <w:p w14:paraId="657AB1E9">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p>
    <w:p w14:paraId="2DA12DA0">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p>
    <w:p w14:paraId="4AA62140">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p>
    <w:p w14:paraId="03441A30">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p>
    <w:p w14:paraId="2AF31A59">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p>
    <w:p w14:paraId="4555108E">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p>
    <w:p w14:paraId="7AF33FA9">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p>
    <w:p w14:paraId="0701562A">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p>
    <w:p w14:paraId="5B9A8110">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p>
    <w:p w14:paraId="147F8A3C">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p>
    <w:p w14:paraId="05D40843">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p>
    <w:p w14:paraId="2DDA86AE">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p>
    <w:p w14:paraId="775E4572">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p>
    <w:p w14:paraId="11B1E874">
      <w:pPr>
        <w:widowControl/>
        <w:spacing w:line="600" w:lineRule="exact"/>
        <w:ind w:firstLine="1800" w:firstLineChars="500"/>
        <w:jc w:val="both"/>
        <w:rPr>
          <w:rFonts w:hint="eastAsia" w:ascii="方正小标宋简体" w:hAnsi="方正小标宋简体" w:eastAsia="方正小标宋简体" w:cs="方正小标宋简体"/>
          <w:color w:val="000000"/>
          <w:sz w:val="36"/>
          <w:szCs w:val="36"/>
          <w:highlight w:val="none"/>
        </w:rPr>
      </w:pPr>
    </w:p>
    <w:p w14:paraId="76FAFA10">
      <w:pPr>
        <w:widowControl/>
        <w:spacing w:line="600" w:lineRule="exact"/>
        <w:ind w:firstLine="1800" w:firstLineChars="500"/>
        <w:jc w:val="both"/>
        <w:rPr>
          <w:rFonts w:hint="eastAsia" w:ascii="方正小标宋简体" w:hAnsi="方正小标宋简体" w:eastAsia="方正小标宋简体" w:cs="方正小标宋简体"/>
          <w:color w:val="000000"/>
          <w:sz w:val="36"/>
          <w:szCs w:val="36"/>
          <w:highlight w:val="none"/>
        </w:rPr>
      </w:pPr>
    </w:p>
    <w:p w14:paraId="476C601D">
      <w:pPr>
        <w:widowControl/>
        <w:spacing w:line="600" w:lineRule="exact"/>
        <w:ind w:firstLine="1800" w:firstLineChars="500"/>
        <w:jc w:val="both"/>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7"/>
        <w:tblW w:w="10629" w:type="dxa"/>
        <w:jc w:val="center"/>
        <w:tblLayout w:type="fixed"/>
        <w:tblCellMar>
          <w:top w:w="0" w:type="dxa"/>
          <w:left w:w="108" w:type="dxa"/>
          <w:bottom w:w="0" w:type="dxa"/>
          <w:right w:w="108" w:type="dxa"/>
        </w:tblCellMar>
      </w:tblPr>
      <w:tblGrid>
        <w:gridCol w:w="1080"/>
        <w:gridCol w:w="1080"/>
        <w:gridCol w:w="1168"/>
        <w:gridCol w:w="1292"/>
        <w:gridCol w:w="978"/>
        <w:gridCol w:w="1134"/>
        <w:gridCol w:w="828"/>
        <w:gridCol w:w="873"/>
        <w:gridCol w:w="2196"/>
      </w:tblGrid>
      <w:tr w14:paraId="14620A2D">
        <w:tblPrEx>
          <w:tblCellMar>
            <w:top w:w="0" w:type="dxa"/>
            <w:left w:w="108" w:type="dxa"/>
            <w:bottom w:w="0" w:type="dxa"/>
            <w:right w:w="108" w:type="dxa"/>
          </w:tblCellMar>
        </w:tblPrEx>
        <w:trPr>
          <w:trHeight w:val="465" w:hRule="atLeast"/>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14:paraId="6418074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14:paraId="106CA72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9549" w:type="dxa"/>
            <w:gridSpan w:val="8"/>
            <w:tcBorders>
              <w:top w:val="single" w:color="auto" w:sz="4" w:space="0"/>
              <w:left w:val="nil"/>
              <w:bottom w:val="single" w:color="auto" w:sz="4" w:space="0"/>
              <w:right w:val="single" w:color="auto" w:sz="4" w:space="0"/>
            </w:tcBorders>
            <w:noWrap w:val="0"/>
            <w:vAlign w:val="center"/>
          </w:tcPr>
          <w:p w14:paraId="1C7BF12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宣传专项</w:t>
            </w:r>
          </w:p>
        </w:tc>
      </w:tr>
      <w:tr w14:paraId="3919431F">
        <w:tblPrEx>
          <w:tblCellMar>
            <w:top w:w="0" w:type="dxa"/>
            <w:left w:w="108" w:type="dxa"/>
            <w:bottom w:w="0" w:type="dxa"/>
            <w:right w:w="108" w:type="dxa"/>
          </w:tblCellMar>
        </w:tblPrEx>
        <w:trPr>
          <w:jc w:val="center"/>
        </w:trPr>
        <w:tc>
          <w:tcPr>
            <w:tcW w:w="1080" w:type="dxa"/>
            <w:tcBorders>
              <w:top w:val="nil"/>
              <w:left w:val="single" w:color="auto" w:sz="4" w:space="0"/>
              <w:bottom w:val="single" w:color="auto" w:sz="4" w:space="0"/>
              <w:right w:val="single" w:color="auto" w:sz="4" w:space="0"/>
            </w:tcBorders>
            <w:noWrap w:val="0"/>
            <w:vAlign w:val="center"/>
          </w:tcPr>
          <w:p w14:paraId="43FF651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518" w:type="dxa"/>
            <w:gridSpan w:val="4"/>
            <w:tcBorders>
              <w:top w:val="single" w:color="auto" w:sz="4" w:space="0"/>
              <w:left w:val="nil"/>
              <w:bottom w:val="single" w:color="auto" w:sz="4" w:space="0"/>
              <w:right w:val="single" w:color="auto" w:sz="4" w:space="0"/>
            </w:tcBorders>
            <w:noWrap w:val="0"/>
            <w:vAlign w:val="center"/>
          </w:tcPr>
          <w:p w14:paraId="7A34727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中共岳阳市君山区委宣传部</w:t>
            </w:r>
          </w:p>
        </w:tc>
        <w:tc>
          <w:tcPr>
            <w:tcW w:w="1134" w:type="dxa"/>
            <w:tcBorders>
              <w:top w:val="single" w:color="auto" w:sz="4" w:space="0"/>
              <w:left w:val="nil"/>
              <w:bottom w:val="single" w:color="auto" w:sz="4" w:space="0"/>
              <w:right w:val="single" w:color="000000" w:sz="4" w:space="0"/>
            </w:tcBorders>
            <w:noWrap w:val="0"/>
            <w:vAlign w:val="center"/>
          </w:tcPr>
          <w:p w14:paraId="03315A7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897" w:type="dxa"/>
            <w:gridSpan w:val="3"/>
            <w:tcBorders>
              <w:top w:val="single" w:color="auto" w:sz="4" w:space="0"/>
              <w:left w:val="nil"/>
              <w:bottom w:val="single" w:color="auto" w:sz="4" w:space="0"/>
              <w:right w:val="single" w:color="auto" w:sz="4" w:space="0"/>
            </w:tcBorders>
            <w:noWrap w:val="0"/>
            <w:vAlign w:val="center"/>
          </w:tcPr>
          <w:p w14:paraId="3028345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中共岳阳市君山区委宣传部</w:t>
            </w:r>
          </w:p>
        </w:tc>
      </w:tr>
      <w:tr w14:paraId="386214C1">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14:paraId="59AF4CE2">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项目资金</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248" w:type="dxa"/>
            <w:gridSpan w:val="2"/>
            <w:tcBorders>
              <w:top w:val="nil"/>
              <w:left w:val="nil"/>
              <w:bottom w:val="single" w:color="auto" w:sz="4" w:space="0"/>
              <w:right w:val="single" w:color="auto" w:sz="4" w:space="0"/>
            </w:tcBorders>
            <w:noWrap w:val="0"/>
            <w:vAlign w:val="center"/>
          </w:tcPr>
          <w:p w14:paraId="6543301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92" w:type="dxa"/>
            <w:tcBorders>
              <w:top w:val="nil"/>
              <w:left w:val="nil"/>
              <w:bottom w:val="single" w:color="auto" w:sz="4" w:space="0"/>
              <w:right w:val="single" w:color="auto" w:sz="4" w:space="0"/>
            </w:tcBorders>
            <w:noWrap w:val="0"/>
            <w:vAlign w:val="center"/>
          </w:tcPr>
          <w:p w14:paraId="798E9C4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14:paraId="616D33F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978" w:type="dxa"/>
            <w:tcBorders>
              <w:top w:val="nil"/>
              <w:left w:val="nil"/>
              <w:bottom w:val="single" w:color="auto" w:sz="4" w:space="0"/>
              <w:right w:val="single" w:color="auto" w:sz="4" w:space="0"/>
            </w:tcBorders>
            <w:noWrap w:val="0"/>
            <w:vAlign w:val="center"/>
          </w:tcPr>
          <w:p w14:paraId="24E1851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14:paraId="4B70DA22">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14:paraId="282A027D">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14:paraId="6A9960F1">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828" w:type="dxa"/>
            <w:tcBorders>
              <w:top w:val="nil"/>
              <w:left w:val="nil"/>
              <w:bottom w:val="single" w:color="auto" w:sz="4" w:space="0"/>
              <w:right w:val="single" w:color="auto" w:sz="4" w:space="0"/>
            </w:tcBorders>
            <w:noWrap w:val="0"/>
            <w:vAlign w:val="center"/>
          </w:tcPr>
          <w:p w14:paraId="03074B59">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14:paraId="280F76E9">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2196" w:type="dxa"/>
            <w:tcBorders>
              <w:top w:val="nil"/>
              <w:left w:val="nil"/>
              <w:bottom w:val="single" w:color="auto" w:sz="4" w:space="0"/>
              <w:right w:val="single" w:color="auto" w:sz="4" w:space="0"/>
            </w:tcBorders>
            <w:noWrap w:val="0"/>
            <w:vAlign w:val="center"/>
          </w:tcPr>
          <w:p w14:paraId="29F47F32">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14:paraId="50A7DB64">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6CBE196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248" w:type="dxa"/>
            <w:gridSpan w:val="2"/>
            <w:tcBorders>
              <w:top w:val="nil"/>
              <w:left w:val="nil"/>
              <w:bottom w:val="single" w:color="auto" w:sz="4" w:space="0"/>
              <w:right w:val="single" w:color="auto" w:sz="4" w:space="0"/>
            </w:tcBorders>
            <w:noWrap w:val="0"/>
            <w:vAlign w:val="center"/>
          </w:tcPr>
          <w:p w14:paraId="78F6008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92" w:type="dxa"/>
            <w:tcBorders>
              <w:top w:val="nil"/>
              <w:left w:val="nil"/>
              <w:bottom w:val="single" w:color="auto" w:sz="4" w:space="0"/>
              <w:right w:val="single" w:color="auto" w:sz="4" w:space="0"/>
            </w:tcBorders>
            <w:noWrap w:val="0"/>
            <w:vAlign w:val="center"/>
          </w:tcPr>
          <w:p w14:paraId="301BDF2D">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44.5</w:t>
            </w:r>
          </w:p>
        </w:tc>
        <w:tc>
          <w:tcPr>
            <w:tcW w:w="978" w:type="dxa"/>
            <w:tcBorders>
              <w:top w:val="nil"/>
              <w:left w:val="nil"/>
              <w:bottom w:val="single" w:color="auto" w:sz="4" w:space="0"/>
              <w:right w:val="single" w:color="auto" w:sz="4" w:space="0"/>
            </w:tcBorders>
            <w:noWrap w:val="0"/>
            <w:vAlign w:val="center"/>
          </w:tcPr>
          <w:p w14:paraId="7DABA20D">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44.5</w:t>
            </w:r>
          </w:p>
        </w:tc>
        <w:tc>
          <w:tcPr>
            <w:tcW w:w="1134" w:type="dxa"/>
            <w:tcBorders>
              <w:top w:val="nil"/>
              <w:left w:val="nil"/>
              <w:bottom w:val="single" w:color="auto" w:sz="4" w:space="0"/>
              <w:right w:val="single" w:color="auto" w:sz="4" w:space="0"/>
            </w:tcBorders>
            <w:noWrap w:val="0"/>
            <w:vAlign w:val="center"/>
          </w:tcPr>
          <w:p w14:paraId="431CA93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44.5</w:t>
            </w:r>
          </w:p>
        </w:tc>
        <w:tc>
          <w:tcPr>
            <w:tcW w:w="828" w:type="dxa"/>
            <w:tcBorders>
              <w:top w:val="nil"/>
              <w:left w:val="nil"/>
              <w:bottom w:val="single" w:color="auto" w:sz="4" w:space="0"/>
              <w:right w:val="single" w:color="auto" w:sz="4" w:space="0"/>
            </w:tcBorders>
            <w:noWrap w:val="0"/>
            <w:vAlign w:val="center"/>
          </w:tcPr>
          <w:p w14:paraId="45D18D1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10</w:t>
            </w:r>
          </w:p>
        </w:tc>
        <w:tc>
          <w:tcPr>
            <w:tcW w:w="873" w:type="dxa"/>
            <w:tcBorders>
              <w:top w:val="nil"/>
              <w:left w:val="nil"/>
              <w:bottom w:val="single" w:color="auto" w:sz="4" w:space="0"/>
              <w:right w:val="single" w:color="auto" w:sz="4" w:space="0"/>
            </w:tcBorders>
            <w:noWrap w:val="0"/>
            <w:vAlign w:val="center"/>
          </w:tcPr>
          <w:p w14:paraId="72FB584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2196" w:type="dxa"/>
            <w:tcBorders>
              <w:top w:val="nil"/>
              <w:left w:val="nil"/>
              <w:bottom w:val="single" w:color="auto" w:sz="4" w:space="0"/>
              <w:right w:val="single" w:color="auto" w:sz="4" w:space="0"/>
            </w:tcBorders>
            <w:noWrap w:val="0"/>
            <w:vAlign w:val="center"/>
          </w:tcPr>
          <w:p w14:paraId="23474D9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r>
      <w:tr w14:paraId="7DFFE554">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0CDC227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248" w:type="dxa"/>
            <w:gridSpan w:val="2"/>
            <w:tcBorders>
              <w:top w:val="nil"/>
              <w:left w:val="nil"/>
              <w:bottom w:val="single" w:color="auto" w:sz="4" w:space="0"/>
              <w:right w:val="single" w:color="auto" w:sz="4" w:space="0"/>
            </w:tcBorders>
            <w:noWrap w:val="0"/>
            <w:vAlign w:val="center"/>
          </w:tcPr>
          <w:p w14:paraId="6F47E02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92" w:type="dxa"/>
            <w:tcBorders>
              <w:top w:val="nil"/>
              <w:left w:val="nil"/>
              <w:bottom w:val="single" w:color="auto" w:sz="4" w:space="0"/>
              <w:right w:val="single" w:color="auto" w:sz="4" w:space="0"/>
            </w:tcBorders>
            <w:noWrap w:val="0"/>
            <w:vAlign w:val="center"/>
          </w:tcPr>
          <w:p w14:paraId="79C2C42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44.5</w:t>
            </w:r>
          </w:p>
        </w:tc>
        <w:tc>
          <w:tcPr>
            <w:tcW w:w="978" w:type="dxa"/>
            <w:tcBorders>
              <w:top w:val="nil"/>
              <w:left w:val="nil"/>
              <w:bottom w:val="single" w:color="auto" w:sz="4" w:space="0"/>
              <w:right w:val="single" w:color="auto" w:sz="4" w:space="0"/>
            </w:tcBorders>
            <w:noWrap w:val="0"/>
            <w:vAlign w:val="center"/>
          </w:tcPr>
          <w:p w14:paraId="2997077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44.5</w:t>
            </w:r>
          </w:p>
        </w:tc>
        <w:tc>
          <w:tcPr>
            <w:tcW w:w="1134" w:type="dxa"/>
            <w:tcBorders>
              <w:top w:val="nil"/>
              <w:left w:val="nil"/>
              <w:bottom w:val="single" w:color="auto" w:sz="4" w:space="0"/>
              <w:right w:val="single" w:color="auto" w:sz="4" w:space="0"/>
            </w:tcBorders>
            <w:noWrap w:val="0"/>
            <w:vAlign w:val="center"/>
          </w:tcPr>
          <w:p w14:paraId="0B11B25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44.5</w:t>
            </w:r>
          </w:p>
        </w:tc>
        <w:tc>
          <w:tcPr>
            <w:tcW w:w="828" w:type="dxa"/>
            <w:tcBorders>
              <w:top w:val="nil"/>
              <w:left w:val="nil"/>
              <w:bottom w:val="single" w:color="auto" w:sz="4" w:space="0"/>
              <w:right w:val="single" w:color="auto" w:sz="4" w:space="0"/>
            </w:tcBorders>
            <w:noWrap w:val="0"/>
            <w:vAlign w:val="center"/>
          </w:tcPr>
          <w:p w14:paraId="626F276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65F8937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2196" w:type="dxa"/>
            <w:tcBorders>
              <w:top w:val="nil"/>
              <w:left w:val="nil"/>
              <w:bottom w:val="single" w:color="auto" w:sz="4" w:space="0"/>
              <w:right w:val="single" w:color="auto" w:sz="4" w:space="0"/>
            </w:tcBorders>
            <w:noWrap w:val="0"/>
            <w:vAlign w:val="center"/>
          </w:tcPr>
          <w:p w14:paraId="1DB2226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6F5231CC">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66C4AFA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248" w:type="dxa"/>
            <w:gridSpan w:val="2"/>
            <w:tcBorders>
              <w:top w:val="nil"/>
              <w:left w:val="nil"/>
              <w:bottom w:val="single" w:color="auto" w:sz="4" w:space="0"/>
              <w:right w:val="single" w:color="auto" w:sz="4" w:space="0"/>
            </w:tcBorders>
            <w:noWrap w:val="0"/>
            <w:vAlign w:val="center"/>
          </w:tcPr>
          <w:p w14:paraId="512EE354">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92" w:type="dxa"/>
            <w:tcBorders>
              <w:top w:val="nil"/>
              <w:left w:val="nil"/>
              <w:bottom w:val="single" w:color="auto" w:sz="4" w:space="0"/>
              <w:right w:val="single" w:color="auto" w:sz="4" w:space="0"/>
            </w:tcBorders>
            <w:noWrap w:val="0"/>
            <w:vAlign w:val="center"/>
          </w:tcPr>
          <w:p w14:paraId="6259D50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78" w:type="dxa"/>
            <w:tcBorders>
              <w:top w:val="nil"/>
              <w:left w:val="nil"/>
              <w:bottom w:val="single" w:color="auto" w:sz="4" w:space="0"/>
              <w:right w:val="single" w:color="auto" w:sz="4" w:space="0"/>
            </w:tcBorders>
            <w:noWrap w:val="0"/>
            <w:vAlign w:val="center"/>
          </w:tcPr>
          <w:p w14:paraId="6CA9334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63E7F0C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5C5B94B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60FE15E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2196" w:type="dxa"/>
            <w:tcBorders>
              <w:top w:val="nil"/>
              <w:left w:val="nil"/>
              <w:bottom w:val="single" w:color="auto" w:sz="4" w:space="0"/>
              <w:right w:val="single" w:color="auto" w:sz="4" w:space="0"/>
            </w:tcBorders>
            <w:noWrap w:val="0"/>
            <w:vAlign w:val="center"/>
          </w:tcPr>
          <w:p w14:paraId="0B5D060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4D47C5D1">
        <w:tblPrEx>
          <w:tblCellMar>
            <w:top w:w="0" w:type="dxa"/>
            <w:left w:w="108" w:type="dxa"/>
            <w:bottom w:w="0" w:type="dxa"/>
            <w:right w:w="108" w:type="dxa"/>
          </w:tblCellMar>
        </w:tblPrEx>
        <w:trPr>
          <w:trHeight w:val="90" w:hRule="atLeast"/>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09CECB1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248" w:type="dxa"/>
            <w:gridSpan w:val="2"/>
            <w:tcBorders>
              <w:top w:val="nil"/>
              <w:left w:val="nil"/>
              <w:bottom w:val="single" w:color="auto" w:sz="4" w:space="0"/>
              <w:right w:val="single" w:color="auto" w:sz="4" w:space="0"/>
            </w:tcBorders>
            <w:noWrap w:val="0"/>
            <w:vAlign w:val="center"/>
          </w:tcPr>
          <w:p w14:paraId="2B940824">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92" w:type="dxa"/>
            <w:tcBorders>
              <w:top w:val="nil"/>
              <w:left w:val="nil"/>
              <w:bottom w:val="single" w:color="auto" w:sz="4" w:space="0"/>
              <w:right w:val="single" w:color="auto" w:sz="4" w:space="0"/>
            </w:tcBorders>
            <w:noWrap w:val="0"/>
            <w:vAlign w:val="center"/>
          </w:tcPr>
          <w:p w14:paraId="79A0705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78" w:type="dxa"/>
            <w:tcBorders>
              <w:top w:val="nil"/>
              <w:left w:val="nil"/>
              <w:bottom w:val="single" w:color="auto" w:sz="4" w:space="0"/>
              <w:right w:val="single" w:color="auto" w:sz="4" w:space="0"/>
            </w:tcBorders>
            <w:noWrap w:val="0"/>
            <w:vAlign w:val="center"/>
          </w:tcPr>
          <w:p w14:paraId="3D6176E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50783C2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01805CF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3C1FE87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2196" w:type="dxa"/>
            <w:tcBorders>
              <w:top w:val="nil"/>
              <w:left w:val="nil"/>
              <w:bottom w:val="single" w:color="auto" w:sz="4" w:space="0"/>
              <w:right w:val="single" w:color="auto" w:sz="4" w:space="0"/>
            </w:tcBorders>
            <w:noWrap w:val="0"/>
            <w:vAlign w:val="center"/>
          </w:tcPr>
          <w:p w14:paraId="3A50615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445D3598">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14:paraId="11D659BE">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518" w:type="dxa"/>
            <w:gridSpan w:val="4"/>
            <w:tcBorders>
              <w:top w:val="single" w:color="auto" w:sz="4" w:space="0"/>
              <w:left w:val="nil"/>
              <w:bottom w:val="single" w:color="auto" w:sz="4" w:space="0"/>
              <w:right w:val="single" w:color="000000" w:sz="4" w:space="0"/>
            </w:tcBorders>
            <w:noWrap w:val="0"/>
            <w:vAlign w:val="center"/>
          </w:tcPr>
          <w:p w14:paraId="70E2008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5031" w:type="dxa"/>
            <w:gridSpan w:val="4"/>
            <w:tcBorders>
              <w:top w:val="single" w:color="auto" w:sz="4" w:space="0"/>
              <w:left w:val="nil"/>
              <w:bottom w:val="single" w:color="auto" w:sz="4" w:space="0"/>
              <w:right w:val="single" w:color="auto" w:sz="4" w:space="0"/>
            </w:tcBorders>
            <w:noWrap w:val="0"/>
            <w:vAlign w:val="center"/>
          </w:tcPr>
          <w:p w14:paraId="46E39C2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14:paraId="35F61591">
        <w:tblPrEx>
          <w:tblCellMar>
            <w:top w:w="0" w:type="dxa"/>
            <w:left w:w="108" w:type="dxa"/>
            <w:bottom w:w="0" w:type="dxa"/>
            <w:right w:w="108" w:type="dxa"/>
          </w:tblCellMar>
        </w:tblPrEx>
        <w:trPr>
          <w:trHeight w:val="964" w:hRule="atLeast"/>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0C7ACA7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518" w:type="dxa"/>
            <w:gridSpan w:val="4"/>
            <w:tcBorders>
              <w:top w:val="single" w:color="auto" w:sz="4" w:space="0"/>
              <w:left w:val="nil"/>
              <w:bottom w:val="single" w:color="auto" w:sz="4" w:space="0"/>
              <w:right w:val="single" w:color="000000" w:sz="4" w:space="0"/>
            </w:tcBorders>
            <w:noWrap w:val="0"/>
            <w:vAlign w:val="center"/>
          </w:tcPr>
          <w:p w14:paraId="0529457C">
            <w:pPr>
              <w:numPr>
                <w:ilvl w:val="0"/>
                <w:numId w:val="0"/>
              </w:numPr>
              <w:autoSpaceDN w:val="0"/>
              <w:spacing w:line="320" w:lineRule="exact"/>
              <w:jc w:val="left"/>
              <w:textAlignment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kern w:val="0"/>
                <w:sz w:val="20"/>
                <w:szCs w:val="20"/>
                <w:highlight w:val="none"/>
                <w:lang w:val="en-US" w:eastAsia="zh-CN" w:bidi="ar-SA"/>
              </w:rPr>
              <w:t>目标1、意识形态工作落实落细。</w:t>
            </w:r>
          </w:p>
          <w:p w14:paraId="0E1CE78C">
            <w:pPr>
              <w:numPr>
                <w:ilvl w:val="0"/>
                <w:numId w:val="0"/>
              </w:numPr>
              <w:autoSpaceDN w:val="0"/>
              <w:spacing w:line="320" w:lineRule="exact"/>
              <w:jc w:val="left"/>
              <w:textAlignment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kern w:val="0"/>
                <w:sz w:val="20"/>
                <w:szCs w:val="20"/>
                <w:highlight w:val="none"/>
                <w:lang w:val="en-US" w:eastAsia="zh-CN" w:bidi="ar-SA"/>
              </w:rPr>
              <w:t>目标2、大力提升宣传广度。</w:t>
            </w:r>
          </w:p>
          <w:p w14:paraId="2697C6B2">
            <w:pPr>
              <w:numPr>
                <w:ilvl w:val="0"/>
                <w:numId w:val="0"/>
              </w:numPr>
              <w:autoSpaceDN w:val="0"/>
              <w:spacing w:line="320" w:lineRule="exact"/>
              <w:jc w:val="left"/>
              <w:textAlignment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kern w:val="0"/>
                <w:sz w:val="20"/>
                <w:szCs w:val="20"/>
                <w:highlight w:val="none"/>
                <w:lang w:val="en-US" w:eastAsia="zh-CN" w:bidi="ar-SA"/>
              </w:rPr>
              <w:t>目标3、提升全区对意识形态工作的认识。</w:t>
            </w:r>
          </w:p>
          <w:p w14:paraId="23983511">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kern w:val="0"/>
                <w:sz w:val="20"/>
                <w:szCs w:val="20"/>
                <w:highlight w:val="none"/>
                <w:lang w:val="en-US" w:eastAsia="zh-CN" w:bidi="ar-SA"/>
              </w:rPr>
              <w:t>目标4、创新开展一系列文艺活动。</w:t>
            </w:r>
          </w:p>
        </w:tc>
        <w:tc>
          <w:tcPr>
            <w:tcW w:w="5031" w:type="dxa"/>
            <w:gridSpan w:val="4"/>
            <w:tcBorders>
              <w:top w:val="single" w:color="auto" w:sz="4" w:space="0"/>
              <w:left w:val="nil"/>
              <w:bottom w:val="single" w:color="auto" w:sz="4" w:space="0"/>
              <w:right w:val="single" w:color="auto" w:sz="4" w:space="0"/>
            </w:tcBorders>
            <w:noWrap w:val="0"/>
            <w:vAlign w:val="center"/>
          </w:tcPr>
          <w:p w14:paraId="3F75AA97">
            <w:pPr>
              <w:pStyle w:val="5"/>
              <w:rPr>
                <w:rFonts w:hint="eastAsia"/>
              </w:rPr>
            </w:pPr>
            <w:r>
              <w:rPr>
                <w:rFonts w:hint="eastAsia" w:ascii="仿宋_GB2312" w:hAnsi="仿宋_GB2312" w:eastAsia="仿宋_GB2312" w:cs="仿宋_GB2312"/>
                <w:color w:val="000000"/>
                <w:sz w:val="20"/>
                <w:szCs w:val="20"/>
                <w:highlight w:val="none"/>
                <w:lang w:val="en-US" w:eastAsia="zh-CN"/>
              </w:rPr>
              <w:t>君山文学艺术奖设立于2019年每三年进行一次评选，设立创作奖励专项资金14.5万元，分为发表奖和创作奖。君山区文学艺术创作奖由区委宣传部负责评选奖励组织协调工作，区文联具体承担评审工作的日常事务。</w:t>
            </w:r>
          </w:p>
        </w:tc>
      </w:tr>
      <w:tr w14:paraId="1C728F73">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14:paraId="41DC184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14:paraId="24E1FDA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14:paraId="2742BCE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14:paraId="117DFDFD">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80" w:type="dxa"/>
            <w:tcBorders>
              <w:top w:val="nil"/>
              <w:left w:val="nil"/>
              <w:bottom w:val="single" w:color="auto" w:sz="4" w:space="0"/>
              <w:right w:val="single" w:color="auto" w:sz="4" w:space="0"/>
            </w:tcBorders>
            <w:noWrap w:val="0"/>
            <w:vAlign w:val="center"/>
          </w:tcPr>
          <w:p w14:paraId="715783F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168" w:type="dxa"/>
            <w:tcBorders>
              <w:top w:val="nil"/>
              <w:left w:val="nil"/>
              <w:bottom w:val="single" w:color="auto" w:sz="4" w:space="0"/>
              <w:right w:val="single" w:color="auto" w:sz="4" w:space="0"/>
            </w:tcBorders>
            <w:noWrap w:val="0"/>
            <w:vAlign w:val="center"/>
          </w:tcPr>
          <w:p w14:paraId="1C9914A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92" w:type="dxa"/>
            <w:tcBorders>
              <w:top w:val="nil"/>
              <w:left w:val="nil"/>
              <w:bottom w:val="single" w:color="auto" w:sz="4" w:space="0"/>
              <w:right w:val="single" w:color="auto" w:sz="4" w:space="0"/>
            </w:tcBorders>
            <w:noWrap w:val="0"/>
            <w:vAlign w:val="center"/>
          </w:tcPr>
          <w:p w14:paraId="57FB982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978" w:type="dxa"/>
            <w:tcBorders>
              <w:top w:val="nil"/>
              <w:left w:val="nil"/>
              <w:bottom w:val="single" w:color="auto" w:sz="4" w:space="0"/>
              <w:right w:val="single" w:color="auto" w:sz="4" w:space="0"/>
            </w:tcBorders>
            <w:noWrap w:val="0"/>
            <w:vAlign w:val="center"/>
          </w:tcPr>
          <w:p w14:paraId="6DF1C37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14:paraId="6AF254C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134" w:type="dxa"/>
            <w:tcBorders>
              <w:top w:val="nil"/>
              <w:left w:val="nil"/>
              <w:bottom w:val="single" w:color="auto" w:sz="4" w:space="0"/>
              <w:right w:val="single" w:color="auto" w:sz="4" w:space="0"/>
            </w:tcBorders>
            <w:noWrap w:val="0"/>
            <w:vAlign w:val="center"/>
          </w:tcPr>
          <w:p w14:paraId="3B9E504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14:paraId="6F53581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828" w:type="dxa"/>
            <w:tcBorders>
              <w:top w:val="nil"/>
              <w:left w:val="nil"/>
              <w:bottom w:val="single" w:color="auto" w:sz="4" w:space="0"/>
              <w:right w:val="single" w:color="auto" w:sz="4" w:space="0"/>
            </w:tcBorders>
            <w:noWrap w:val="0"/>
            <w:vAlign w:val="center"/>
          </w:tcPr>
          <w:p w14:paraId="75782212">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14:paraId="6FFCC5C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2196" w:type="dxa"/>
            <w:tcBorders>
              <w:top w:val="nil"/>
              <w:left w:val="nil"/>
              <w:bottom w:val="single" w:color="auto" w:sz="4" w:space="0"/>
              <w:right w:val="single" w:color="auto" w:sz="4" w:space="0"/>
            </w:tcBorders>
            <w:noWrap w:val="0"/>
            <w:vAlign w:val="center"/>
          </w:tcPr>
          <w:p w14:paraId="6E5955EB">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14:paraId="13681205">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4E2A6AC">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14:paraId="30EAF6D2">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14:paraId="094CFD5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14:paraId="1D498DD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4</w:t>
            </w:r>
            <w:r>
              <w:rPr>
                <w:rFonts w:hint="eastAsia" w:ascii="仿宋_GB2312" w:hAnsi="仿宋_GB2312" w:eastAsia="仿宋_GB2312" w:cs="仿宋_GB2312"/>
                <w:color w:val="000000"/>
                <w:sz w:val="20"/>
                <w:szCs w:val="20"/>
                <w:highlight w:val="none"/>
              </w:rPr>
              <w:t>0分)</w:t>
            </w:r>
          </w:p>
        </w:tc>
        <w:tc>
          <w:tcPr>
            <w:tcW w:w="1168" w:type="dxa"/>
            <w:vMerge w:val="restart"/>
            <w:tcBorders>
              <w:top w:val="single" w:color="auto" w:sz="4" w:space="0"/>
              <w:left w:val="single" w:color="auto" w:sz="4" w:space="0"/>
              <w:bottom w:val="single" w:color="auto" w:sz="4" w:space="0"/>
              <w:right w:val="single" w:color="auto" w:sz="4" w:space="0"/>
            </w:tcBorders>
            <w:noWrap w:val="0"/>
            <w:vAlign w:val="center"/>
          </w:tcPr>
          <w:p w14:paraId="076C7E2D">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92" w:type="dxa"/>
            <w:tcBorders>
              <w:top w:val="single" w:color="auto" w:sz="4" w:space="0"/>
              <w:left w:val="single" w:color="auto" w:sz="4" w:space="0"/>
              <w:bottom w:val="single" w:color="auto" w:sz="4" w:space="0"/>
              <w:right w:val="single" w:color="auto" w:sz="4" w:space="0"/>
            </w:tcBorders>
            <w:noWrap w:val="0"/>
            <w:vAlign w:val="center"/>
          </w:tcPr>
          <w:p w14:paraId="2D6186CC">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kern w:val="0"/>
                <w:sz w:val="20"/>
                <w:szCs w:val="20"/>
                <w:highlight w:val="none"/>
                <w:lang w:val="en-US" w:eastAsia="zh-CN" w:bidi="ar-SA"/>
              </w:rPr>
              <w:t>每年进行一次发表奖</w:t>
            </w:r>
          </w:p>
        </w:tc>
        <w:tc>
          <w:tcPr>
            <w:tcW w:w="978" w:type="dxa"/>
            <w:tcBorders>
              <w:top w:val="single" w:color="auto" w:sz="4" w:space="0"/>
              <w:left w:val="single" w:color="auto" w:sz="4" w:space="0"/>
              <w:bottom w:val="single" w:color="auto" w:sz="4" w:space="0"/>
              <w:right w:val="single" w:color="auto" w:sz="4" w:space="0"/>
            </w:tcBorders>
            <w:noWrap w:val="0"/>
            <w:vAlign w:val="center"/>
          </w:tcPr>
          <w:p w14:paraId="0FB7E30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≥1次</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4CD75F1F">
            <w:pPr>
              <w:keepNext w:val="0"/>
              <w:keepLines w:val="0"/>
              <w:pageBreakBefore w:val="0"/>
              <w:widowControl/>
              <w:kinsoku/>
              <w:wordWrap/>
              <w:overflowPunct/>
              <w:topLinePunct w:val="0"/>
              <w:autoSpaceDE/>
              <w:autoSpaceDN/>
              <w:bidi w:val="0"/>
              <w:adjustRightInd/>
              <w:snapToGrid/>
              <w:spacing w:line="260" w:lineRule="exact"/>
              <w:ind w:firstLine="200" w:firstLineChars="100"/>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已完成</w:t>
            </w:r>
          </w:p>
        </w:tc>
        <w:tc>
          <w:tcPr>
            <w:tcW w:w="828" w:type="dxa"/>
            <w:tcBorders>
              <w:top w:val="single" w:color="auto" w:sz="4" w:space="0"/>
              <w:left w:val="single" w:color="auto" w:sz="4" w:space="0"/>
              <w:bottom w:val="single" w:color="auto" w:sz="4" w:space="0"/>
              <w:right w:val="single" w:color="auto" w:sz="4" w:space="0"/>
            </w:tcBorders>
            <w:noWrap w:val="0"/>
            <w:vAlign w:val="center"/>
          </w:tcPr>
          <w:p w14:paraId="50FC3A0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3F08340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2196" w:type="dxa"/>
            <w:tcBorders>
              <w:top w:val="single" w:color="auto" w:sz="4" w:space="0"/>
              <w:left w:val="single" w:color="auto" w:sz="4" w:space="0"/>
              <w:bottom w:val="single" w:color="auto" w:sz="4" w:space="0"/>
              <w:right w:val="single" w:color="auto" w:sz="4" w:space="0"/>
            </w:tcBorders>
            <w:noWrap w:val="0"/>
            <w:vAlign w:val="center"/>
          </w:tcPr>
          <w:p w14:paraId="4FD6352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无偏差</w:t>
            </w:r>
          </w:p>
        </w:tc>
      </w:tr>
      <w:tr w14:paraId="63C47F23">
        <w:tblPrEx>
          <w:tblCellMar>
            <w:top w:w="0" w:type="dxa"/>
            <w:left w:w="108" w:type="dxa"/>
            <w:bottom w:w="0" w:type="dxa"/>
            <w:right w:w="108" w:type="dxa"/>
          </w:tblCellMar>
        </w:tblPrEx>
        <w:trPr>
          <w:trHeight w:val="655" w:hRule="atLeast"/>
          <w:jc w:val="center"/>
        </w:trPr>
        <w:tc>
          <w:tcPr>
            <w:tcW w:w="1080" w:type="dxa"/>
            <w:vMerge w:val="continue"/>
            <w:tcBorders>
              <w:left w:val="single" w:color="auto" w:sz="4" w:space="0"/>
              <w:right w:val="single" w:color="auto" w:sz="4" w:space="0"/>
            </w:tcBorders>
            <w:noWrap w:val="0"/>
            <w:vAlign w:val="center"/>
          </w:tcPr>
          <w:p w14:paraId="32C9B50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2A54EB2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68" w:type="dxa"/>
            <w:vMerge w:val="continue"/>
            <w:tcBorders>
              <w:top w:val="single" w:color="auto" w:sz="4" w:space="0"/>
              <w:left w:val="single" w:color="auto" w:sz="4" w:space="0"/>
              <w:bottom w:val="single" w:color="auto" w:sz="4" w:space="0"/>
              <w:right w:val="single" w:color="auto" w:sz="4" w:space="0"/>
            </w:tcBorders>
            <w:noWrap w:val="0"/>
            <w:vAlign w:val="center"/>
          </w:tcPr>
          <w:p w14:paraId="7D566EB6">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92" w:type="dxa"/>
            <w:tcBorders>
              <w:top w:val="single" w:color="auto" w:sz="4" w:space="0"/>
              <w:left w:val="single" w:color="auto" w:sz="4" w:space="0"/>
              <w:bottom w:val="single" w:color="auto" w:sz="4" w:space="0"/>
              <w:right w:val="single" w:color="auto" w:sz="4" w:space="0"/>
            </w:tcBorders>
            <w:noWrap w:val="0"/>
            <w:vAlign w:val="center"/>
          </w:tcPr>
          <w:p w14:paraId="7CBBA319">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kern w:val="0"/>
                <w:sz w:val="20"/>
                <w:szCs w:val="20"/>
                <w:highlight w:val="none"/>
                <w:lang w:val="en-US" w:eastAsia="zh-CN" w:bidi="ar-SA"/>
              </w:rPr>
              <w:t>利用融媒体平台传播君山好声音</w:t>
            </w:r>
          </w:p>
        </w:tc>
        <w:tc>
          <w:tcPr>
            <w:tcW w:w="978" w:type="dxa"/>
            <w:tcBorders>
              <w:top w:val="single" w:color="auto" w:sz="4" w:space="0"/>
              <w:left w:val="single" w:color="auto" w:sz="4" w:space="0"/>
              <w:bottom w:val="single" w:color="auto" w:sz="4" w:space="0"/>
              <w:right w:val="single" w:color="auto" w:sz="4" w:space="0"/>
            </w:tcBorders>
            <w:noWrap w:val="0"/>
            <w:vAlign w:val="center"/>
          </w:tcPr>
          <w:p w14:paraId="18FF6D2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≥12000条</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1F54BD7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已完成</w:t>
            </w:r>
          </w:p>
        </w:tc>
        <w:tc>
          <w:tcPr>
            <w:tcW w:w="828" w:type="dxa"/>
            <w:tcBorders>
              <w:top w:val="single" w:color="auto" w:sz="4" w:space="0"/>
              <w:left w:val="single" w:color="auto" w:sz="4" w:space="0"/>
              <w:bottom w:val="single" w:color="auto" w:sz="4" w:space="0"/>
              <w:right w:val="single" w:color="auto" w:sz="4" w:space="0"/>
            </w:tcBorders>
            <w:noWrap w:val="0"/>
            <w:vAlign w:val="center"/>
          </w:tcPr>
          <w:p w14:paraId="26F4AEE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5F4ED02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2196" w:type="dxa"/>
            <w:tcBorders>
              <w:top w:val="single" w:color="auto" w:sz="4" w:space="0"/>
              <w:left w:val="single" w:color="auto" w:sz="4" w:space="0"/>
              <w:bottom w:val="single" w:color="auto" w:sz="4" w:space="0"/>
              <w:right w:val="single" w:color="auto" w:sz="4" w:space="0"/>
            </w:tcBorders>
            <w:noWrap w:val="0"/>
            <w:vAlign w:val="center"/>
          </w:tcPr>
          <w:p w14:paraId="6D94C07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无偏差</w:t>
            </w:r>
          </w:p>
        </w:tc>
      </w:tr>
      <w:tr w14:paraId="52E409EF">
        <w:tblPrEx>
          <w:tblCellMar>
            <w:top w:w="0" w:type="dxa"/>
            <w:left w:w="108" w:type="dxa"/>
            <w:bottom w:w="0" w:type="dxa"/>
            <w:right w:w="108" w:type="dxa"/>
          </w:tblCellMar>
        </w:tblPrEx>
        <w:trPr>
          <w:trHeight w:val="505" w:hRule="atLeast"/>
          <w:jc w:val="center"/>
        </w:trPr>
        <w:tc>
          <w:tcPr>
            <w:tcW w:w="1080" w:type="dxa"/>
            <w:vMerge w:val="continue"/>
            <w:tcBorders>
              <w:left w:val="single" w:color="auto" w:sz="4" w:space="0"/>
              <w:right w:val="single" w:color="auto" w:sz="4" w:space="0"/>
            </w:tcBorders>
            <w:noWrap w:val="0"/>
            <w:vAlign w:val="center"/>
          </w:tcPr>
          <w:p w14:paraId="6D56F38D">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36E9EA9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68" w:type="dxa"/>
            <w:vMerge w:val="restart"/>
            <w:tcBorders>
              <w:top w:val="single" w:color="auto" w:sz="4" w:space="0"/>
              <w:left w:val="single" w:color="auto" w:sz="4" w:space="0"/>
              <w:bottom w:val="single" w:color="auto" w:sz="4" w:space="0"/>
              <w:right w:val="single" w:color="auto" w:sz="4" w:space="0"/>
            </w:tcBorders>
            <w:noWrap w:val="0"/>
            <w:vAlign w:val="center"/>
          </w:tcPr>
          <w:p w14:paraId="1831B47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92" w:type="dxa"/>
            <w:tcBorders>
              <w:top w:val="single" w:color="auto" w:sz="4" w:space="0"/>
              <w:left w:val="single" w:color="auto" w:sz="4" w:space="0"/>
              <w:bottom w:val="single" w:color="auto" w:sz="4" w:space="0"/>
              <w:right w:val="single" w:color="auto" w:sz="4" w:space="0"/>
            </w:tcBorders>
            <w:noWrap w:val="0"/>
            <w:vAlign w:val="center"/>
          </w:tcPr>
          <w:p w14:paraId="791891C0">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学习具有针对性、实效性等质量达标率</w:t>
            </w:r>
          </w:p>
        </w:tc>
        <w:tc>
          <w:tcPr>
            <w:tcW w:w="978" w:type="dxa"/>
            <w:tcBorders>
              <w:top w:val="single" w:color="auto" w:sz="4" w:space="0"/>
              <w:left w:val="single" w:color="auto" w:sz="4" w:space="0"/>
              <w:bottom w:val="single" w:color="auto" w:sz="4" w:space="0"/>
              <w:right w:val="single" w:color="auto" w:sz="4" w:space="0"/>
            </w:tcBorders>
            <w:noWrap w:val="0"/>
            <w:vAlign w:val="center"/>
          </w:tcPr>
          <w:p w14:paraId="134FCE85">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=100%</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0399A501">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=100%</w:t>
            </w:r>
          </w:p>
        </w:tc>
        <w:tc>
          <w:tcPr>
            <w:tcW w:w="828" w:type="dxa"/>
            <w:tcBorders>
              <w:top w:val="single" w:color="auto" w:sz="4" w:space="0"/>
              <w:left w:val="single" w:color="auto" w:sz="4" w:space="0"/>
              <w:bottom w:val="single" w:color="auto" w:sz="4" w:space="0"/>
              <w:right w:val="single" w:color="auto" w:sz="4" w:space="0"/>
            </w:tcBorders>
            <w:noWrap w:val="0"/>
            <w:vAlign w:val="center"/>
          </w:tcPr>
          <w:p w14:paraId="00638693">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42EAE90C">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2196" w:type="dxa"/>
            <w:tcBorders>
              <w:top w:val="single" w:color="auto" w:sz="4" w:space="0"/>
              <w:left w:val="single" w:color="auto" w:sz="4" w:space="0"/>
              <w:bottom w:val="single" w:color="auto" w:sz="4" w:space="0"/>
              <w:right w:val="single" w:color="auto" w:sz="4" w:space="0"/>
            </w:tcBorders>
            <w:noWrap w:val="0"/>
            <w:vAlign w:val="center"/>
          </w:tcPr>
          <w:p w14:paraId="5392053E">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eastAsia="zh-CN"/>
              </w:rPr>
              <w:t>无偏差</w:t>
            </w:r>
          </w:p>
        </w:tc>
      </w:tr>
      <w:tr w14:paraId="14F44714">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B150517">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77295C72">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68" w:type="dxa"/>
            <w:vMerge w:val="continue"/>
            <w:tcBorders>
              <w:top w:val="single" w:color="auto" w:sz="4" w:space="0"/>
              <w:left w:val="single" w:color="auto" w:sz="4" w:space="0"/>
              <w:bottom w:val="single" w:color="auto" w:sz="4" w:space="0"/>
              <w:right w:val="single" w:color="auto" w:sz="4" w:space="0"/>
            </w:tcBorders>
            <w:noWrap w:val="0"/>
            <w:vAlign w:val="center"/>
          </w:tcPr>
          <w:p w14:paraId="176E4319">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92" w:type="dxa"/>
            <w:tcBorders>
              <w:top w:val="single" w:color="auto" w:sz="4" w:space="0"/>
              <w:left w:val="single" w:color="auto" w:sz="4" w:space="0"/>
              <w:bottom w:val="single" w:color="auto" w:sz="4" w:space="0"/>
              <w:right w:val="single" w:color="auto" w:sz="4" w:space="0"/>
            </w:tcBorders>
            <w:noWrap w:val="0"/>
            <w:vAlign w:val="center"/>
          </w:tcPr>
          <w:p w14:paraId="34C21361">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开展活动完成率</w:t>
            </w:r>
          </w:p>
        </w:tc>
        <w:tc>
          <w:tcPr>
            <w:tcW w:w="978" w:type="dxa"/>
            <w:tcBorders>
              <w:top w:val="single" w:color="auto" w:sz="4" w:space="0"/>
              <w:left w:val="single" w:color="auto" w:sz="4" w:space="0"/>
              <w:bottom w:val="single" w:color="auto" w:sz="4" w:space="0"/>
              <w:right w:val="single" w:color="auto" w:sz="4" w:space="0"/>
            </w:tcBorders>
            <w:noWrap w:val="0"/>
            <w:vAlign w:val="center"/>
          </w:tcPr>
          <w:p w14:paraId="2955F67F">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59227DB5">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828" w:type="dxa"/>
            <w:tcBorders>
              <w:top w:val="single" w:color="auto" w:sz="4" w:space="0"/>
              <w:left w:val="single" w:color="auto" w:sz="4" w:space="0"/>
              <w:bottom w:val="single" w:color="auto" w:sz="4" w:space="0"/>
              <w:right w:val="single" w:color="auto" w:sz="4" w:space="0"/>
            </w:tcBorders>
            <w:noWrap w:val="0"/>
            <w:vAlign w:val="center"/>
          </w:tcPr>
          <w:p w14:paraId="6AB8296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365B4FF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2196" w:type="dxa"/>
            <w:tcBorders>
              <w:top w:val="single" w:color="auto" w:sz="4" w:space="0"/>
              <w:left w:val="single" w:color="auto" w:sz="4" w:space="0"/>
              <w:bottom w:val="single" w:color="auto" w:sz="4" w:space="0"/>
              <w:right w:val="single" w:color="auto" w:sz="4" w:space="0"/>
            </w:tcBorders>
            <w:noWrap w:val="0"/>
            <w:vAlign w:val="center"/>
          </w:tcPr>
          <w:p w14:paraId="46D7671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无偏差</w:t>
            </w:r>
          </w:p>
        </w:tc>
      </w:tr>
      <w:tr w14:paraId="3D5AC9E4">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818B2F7">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07A5F115">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68" w:type="dxa"/>
            <w:tcBorders>
              <w:top w:val="single" w:color="auto" w:sz="4" w:space="0"/>
              <w:left w:val="single" w:color="auto" w:sz="4" w:space="0"/>
              <w:bottom w:val="single" w:color="auto" w:sz="4" w:space="0"/>
              <w:right w:val="single" w:color="auto" w:sz="4" w:space="0"/>
            </w:tcBorders>
            <w:noWrap w:val="0"/>
            <w:vAlign w:val="center"/>
          </w:tcPr>
          <w:p w14:paraId="4044EE2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92" w:type="dxa"/>
            <w:tcBorders>
              <w:top w:val="single" w:color="auto" w:sz="4" w:space="0"/>
              <w:left w:val="single" w:color="auto" w:sz="4" w:space="0"/>
              <w:bottom w:val="single" w:color="auto" w:sz="4" w:space="0"/>
              <w:right w:val="single" w:color="auto" w:sz="4" w:space="0"/>
            </w:tcBorders>
            <w:noWrap w:val="0"/>
            <w:vAlign w:val="center"/>
          </w:tcPr>
          <w:p w14:paraId="090C4BFD">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年度各项任务完成期限</w:t>
            </w:r>
          </w:p>
        </w:tc>
        <w:tc>
          <w:tcPr>
            <w:tcW w:w="978" w:type="dxa"/>
            <w:tcBorders>
              <w:top w:val="single" w:color="auto" w:sz="4" w:space="0"/>
              <w:left w:val="single" w:color="auto" w:sz="4" w:space="0"/>
              <w:bottom w:val="single" w:color="auto" w:sz="4" w:space="0"/>
              <w:right w:val="single" w:color="auto" w:sz="4" w:space="0"/>
            </w:tcBorders>
            <w:noWrap w:val="0"/>
            <w:vAlign w:val="center"/>
          </w:tcPr>
          <w:p w14:paraId="0E9D128F">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2023年12月31日前</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24528925">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2023年12月20日前</w:t>
            </w:r>
          </w:p>
        </w:tc>
        <w:tc>
          <w:tcPr>
            <w:tcW w:w="828" w:type="dxa"/>
            <w:tcBorders>
              <w:top w:val="single" w:color="auto" w:sz="4" w:space="0"/>
              <w:left w:val="single" w:color="auto" w:sz="4" w:space="0"/>
              <w:bottom w:val="single" w:color="auto" w:sz="4" w:space="0"/>
              <w:right w:val="single" w:color="auto" w:sz="4" w:space="0"/>
            </w:tcBorders>
            <w:noWrap w:val="0"/>
            <w:vAlign w:val="center"/>
          </w:tcPr>
          <w:p w14:paraId="608CBA39">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71C88497">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2196" w:type="dxa"/>
            <w:tcBorders>
              <w:top w:val="single" w:color="auto" w:sz="4" w:space="0"/>
              <w:left w:val="single" w:color="auto" w:sz="4" w:space="0"/>
              <w:bottom w:val="single" w:color="auto" w:sz="4" w:space="0"/>
              <w:right w:val="single" w:color="auto" w:sz="4" w:space="0"/>
            </w:tcBorders>
            <w:noWrap w:val="0"/>
            <w:vAlign w:val="center"/>
          </w:tcPr>
          <w:p w14:paraId="5370C826">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eastAsia="zh-CN"/>
              </w:rPr>
              <w:t>无偏差</w:t>
            </w:r>
          </w:p>
        </w:tc>
      </w:tr>
      <w:tr w14:paraId="3F3C8996">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7F7DE8F6">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19A7D0BC">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68" w:type="dxa"/>
            <w:tcBorders>
              <w:top w:val="single" w:color="auto" w:sz="4" w:space="0"/>
              <w:left w:val="single" w:color="auto" w:sz="4" w:space="0"/>
              <w:bottom w:val="single" w:color="auto" w:sz="4" w:space="0"/>
              <w:right w:val="single" w:color="auto" w:sz="4" w:space="0"/>
            </w:tcBorders>
            <w:noWrap w:val="0"/>
            <w:vAlign w:val="center"/>
          </w:tcPr>
          <w:p w14:paraId="0F511EA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92" w:type="dxa"/>
            <w:tcBorders>
              <w:top w:val="single" w:color="auto" w:sz="4" w:space="0"/>
              <w:left w:val="single" w:color="auto" w:sz="4" w:space="0"/>
              <w:bottom w:val="single" w:color="auto" w:sz="4" w:space="0"/>
              <w:right w:val="single" w:color="auto" w:sz="4" w:space="0"/>
            </w:tcBorders>
            <w:noWrap w:val="0"/>
            <w:vAlign w:val="center"/>
          </w:tcPr>
          <w:p w14:paraId="5D55A5E8">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预算控制率</w:t>
            </w:r>
          </w:p>
        </w:tc>
        <w:tc>
          <w:tcPr>
            <w:tcW w:w="978" w:type="dxa"/>
            <w:tcBorders>
              <w:top w:val="single" w:color="auto" w:sz="4" w:space="0"/>
              <w:left w:val="single" w:color="auto" w:sz="4" w:space="0"/>
              <w:bottom w:val="single" w:color="auto" w:sz="4" w:space="0"/>
              <w:right w:val="single" w:color="auto" w:sz="4" w:space="0"/>
            </w:tcBorders>
            <w:noWrap w:val="0"/>
            <w:vAlign w:val="center"/>
          </w:tcPr>
          <w:p w14:paraId="1346F11D">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792CEF9D">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single" w:color="auto" w:sz="4" w:space="0"/>
              <w:left w:val="single" w:color="auto" w:sz="4" w:space="0"/>
              <w:bottom w:val="single" w:color="auto" w:sz="4" w:space="0"/>
              <w:right w:val="single" w:color="auto" w:sz="4" w:space="0"/>
            </w:tcBorders>
            <w:noWrap w:val="0"/>
            <w:vAlign w:val="center"/>
          </w:tcPr>
          <w:p w14:paraId="36D8BCDD">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2F0CF7E5">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5</w:t>
            </w:r>
          </w:p>
        </w:tc>
        <w:tc>
          <w:tcPr>
            <w:tcW w:w="2196" w:type="dxa"/>
            <w:tcBorders>
              <w:top w:val="single" w:color="auto" w:sz="4" w:space="0"/>
              <w:left w:val="single" w:color="auto" w:sz="4" w:space="0"/>
              <w:bottom w:val="single" w:color="auto" w:sz="4" w:space="0"/>
              <w:right w:val="single" w:color="auto" w:sz="4" w:space="0"/>
            </w:tcBorders>
            <w:noWrap w:val="0"/>
            <w:vAlign w:val="center"/>
          </w:tcPr>
          <w:p w14:paraId="28098222">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eastAsia="zh-CN"/>
              </w:rPr>
              <w:t>无偏差</w:t>
            </w:r>
          </w:p>
        </w:tc>
      </w:tr>
      <w:tr w14:paraId="13924F9B">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FAA9FB8">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14:paraId="3D76934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14:paraId="165A50B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14:paraId="72F7D8E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4</w:t>
            </w:r>
            <w:r>
              <w:rPr>
                <w:rFonts w:hint="eastAsia" w:ascii="仿宋_GB2312" w:hAnsi="仿宋_GB2312" w:eastAsia="仿宋_GB2312" w:cs="仿宋_GB2312"/>
                <w:color w:val="000000"/>
                <w:sz w:val="20"/>
                <w:szCs w:val="20"/>
                <w:highlight w:val="none"/>
              </w:rPr>
              <w:t>0分）</w:t>
            </w:r>
          </w:p>
          <w:p w14:paraId="528D71D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68" w:type="dxa"/>
            <w:tcBorders>
              <w:top w:val="single" w:color="auto" w:sz="4" w:space="0"/>
              <w:left w:val="single" w:color="auto" w:sz="4" w:space="0"/>
              <w:bottom w:val="single" w:color="auto" w:sz="4" w:space="0"/>
              <w:right w:val="single" w:color="auto" w:sz="4" w:space="0"/>
            </w:tcBorders>
            <w:noWrap w:val="0"/>
            <w:vAlign w:val="center"/>
          </w:tcPr>
          <w:p w14:paraId="79C010E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14:paraId="45876B3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92" w:type="dxa"/>
            <w:tcBorders>
              <w:top w:val="single" w:color="auto" w:sz="4" w:space="0"/>
              <w:left w:val="single" w:color="auto" w:sz="4" w:space="0"/>
              <w:bottom w:val="single" w:color="auto" w:sz="4" w:space="0"/>
              <w:right w:val="single" w:color="auto" w:sz="4" w:space="0"/>
            </w:tcBorders>
            <w:noWrap w:val="0"/>
            <w:vAlign w:val="center"/>
          </w:tcPr>
          <w:p w14:paraId="43B9703B">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为促进经济转型发展提供良好的舆论氛围</w:t>
            </w:r>
          </w:p>
        </w:tc>
        <w:tc>
          <w:tcPr>
            <w:tcW w:w="978" w:type="dxa"/>
            <w:tcBorders>
              <w:top w:val="single" w:color="auto" w:sz="4" w:space="0"/>
              <w:left w:val="single" w:color="auto" w:sz="4" w:space="0"/>
              <w:bottom w:val="single" w:color="auto" w:sz="4" w:space="0"/>
              <w:right w:val="single" w:color="auto" w:sz="4" w:space="0"/>
            </w:tcBorders>
            <w:noWrap w:val="0"/>
            <w:vAlign w:val="center"/>
          </w:tcPr>
          <w:p w14:paraId="648BB661">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27739AA9">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有效推动</w:t>
            </w:r>
          </w:p>
        </w:tc>
        <w:tc>
          <w:tcPr>
            <w:tcW w:w="828" w:type="dxa"/>
            <w:tcBorders>
              <w:top w:val="single" w:color="auto" w:sz="4" w:space="0"/>
              <w:left w:val="single" w:color="auto" w:sz="4" w:space="0"/>
              <w:bottom w:val="single" w:color="auto" w:sz="4" w:space="0"/>
              <w:right w:val="single" w:color="auto" w:sz="4" w:space="0"/>
            </w:tcBorders>
            <w:noWrap w:val="0"/>
            <w:vAlign w:val="center"/>
          </w:tcPr>
          <w:p w14:paraId="787A979E">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0C997E4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8</w:t>
            </w:r>
          </w:p>
        </w:tc>
        <w:tc>
          <w:tcPr>
            <w:tcW w:w="2196" w:type="dxa"/>
            <w:tcBorders>
              <w:top w:val="single" w:color="auto" w:sz="4" w:space="0"/>
              <w:left w:val="single" w:color="auto" w:sz="4" w:space="0"/>
              <w:bottom w:val="single" w:color="auto" w:sz="4" w:space="0"/>
              <w:right w:val="single" w:color="auto" w:sz="4" w:space="0"/>
            </w:tcBorders>
            <w:noWrap w:val="0"/>
            <w:vAlign w:val="center"/>
          </w:tcPr>
          <w:p w14:paraId="66FCAA39">
            <w:pPr>
              <w:widowControl/>
              <w:spacing w:line="240" w:lineRule="exact"/>
              <w:ind w:firstLine="200" w:firstLineChars="100"/>
              <w:jc w:val="center"/>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需进一步协助提高经济效率指标</w:t>
            </w:r>
          </w:p>
        </w:tc>
      </w:tr>
      <w:tr w14:paraId="36F10800">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C9A66ED">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07FDC220">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68" w:type="dxa"/>
            <w:tcBorders>
              <w:top w:val="single" w:color="auto" w:sz="4" w:space="0"/>
              <w:left w:val="single" w:color="auto" w:sz="4" w:space="0"/>
              <w:bottom w:val="single" w:color="auto" w:sz="4" w:space="0"/>
              <w:right w:val="single" w:color="auto" w:sz="4" w:space="0"/>
            </w:tcBorders>
            <w:noWrap w:val="0"/>
            <w:vAlign w:val="center"/>
          </w:tcPr>
          <w:p w14:paraId="3B160EA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14:paraId="44EAB5A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92" w:type="dxa"/>
            <w:tcBorders>
              <w:top w:val="single" w:color="auto" w:sz="4" w:space="0"/>
              <w:left w:val="single" w:color="auto" w:sz="4" w:space="0"/>
              <w:bottom w:val="single" w:color="auto" w:sz="4" w:space="0"/>
              <w:right w:val="single" w:color="auto" w:sz="4" w:space="0"/>
            </w:tcBorders>
            <w:noWrap w:val="0"/>
            <w:vAlign w:val="center"/>
          </w:tcPr>
          <w:p w14:paraId="7CFA2331">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在全区形成良好的文明社会风尚。</w:t>
            </w:r>
          </w:p>
        </w:tc>
        <w:tc>
          <w:tcPr>
            <w:tcW w:w="978" w:type="dxa"/>
            <w:tcBorders>
              <w:top w:val="single" w:color="auto" w:sz="4" w:space="0"/>
              <w:left w:val="single" w:color="auto" w:sz="4" w:space="0"/>
              <w:bottom w:val="single" w:color="auto" w:sz="4" w:space="0"/>
              <w:right w:val="single" w:color="auto" w:sz="4" w:space="0"/>
            </w:tcBorders>
            <w:noWrap w:val="0"/>
            <w:vAlign w:val="center"/>
          </w:tcPr>
          <w:p w14:paraId="33944DEA">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196BE2DE">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有效提升</w:t>
            </w:r>
          </w:p>
        </w:tc>
        <w:tc>
          <w:tcPr>
            <w:tcW w:w="828" w:type="dxa"/>
            <w:tcBorders>
              <w:top w:val="single" w:color="auto" w:sz="4" w:space="0"/>
              <w:left w:val="single" w:color="auto" w:sz="4" w:space="0"/>
              <w:bottom w:val="single" w:color="auto" w:sz="4" w:space="0"/>
              <w:right w:val="single" w:color="auto" w:sz="4" w:space="0"/>
            </w:tcBorders>
            <w:noWrap w:val="0"/>
            <w:vAlign w:val="center"/>
          </w:tcPr>
          <w:p w14:paraId="502DDD18">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3C30BB5F">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2196" w:type="dxa"/>
            <w:tcBorders>
              <w:top w:val="single" w:color="auto" w:sz="4" w:space="0"/>
              <w:left w:val="single" w:color="auto" w:sz="4" w:space="0"/>
              <w:bottom w:val="single" w:color="auto" w:sz="4" w:space="0"/>
              <w:right w:val="single" w:color="auto" w:sz="4" w:space="0"/>
            </w:tcBorders>
            <w:noWrap w:val="0"/>
            <w:vAlign w:val="center"/>
          </w:tcPr>
          <w:p w14:paraId="114C7526">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14:paraId="735D895E">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7091141F">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1B621B40">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68" w:type="dxa"/>
            <w:tcBorders>
              <w:top w:val="single" w:color="auto" w:sz="4" w:space="0"/>
              <w:left w:val="single" w:color="auto" w:sz="4" w:space="0"/>
              <w:bottom w:val="single" w:color="auto" w:sz="4" w:space="0"/>
              <w:right w:val="single" w:color="auto" w:sz="4" w:space="0"/>
            </w:tcBorders>
            <w:noWrap w:val="0"/>
            <w:vAlign w:val="center"/>
          </w:tcPr>
          <w:p w14:paraId="709EF77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14:paraId="60F719E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92" w:type="dxa"/>
            <w:tcBorders>
              <w:top w:val="single" w:color="auto" w:sz="4" w:space="0"/>
              <w:left w:val="single" w:color="auto" w:sz="4" w:space="0"/>
              <w:bottom w:val="single" w:color="auto" w:sz="4" w:space="0"/>
              <w:right w:val="single" w:color="auto" w:sz="4" w:space="0"/>
            </w:tcBorders>
            <w:noWrap w:val="0"/>
            <w:vAlign w:val="center"/>
          </w:tcPr>
          <w:p w14:paraId="745E0A25">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不影响生态环境</w:t>
            </w:r>
          </w:p>
        </w:tc>
        <w:tc>
          <w:tcPr>
            <w:tcW w:w="978" w:type="dxa"/>
            <w:tcBorders>
              <w:top w:val="single" w:color="auto" w:sz="4" w:space="0"/>
              <w:left w:val="single" w:color="auto" w:sz="4" w:space="0"/>
              <w:bottom w:val="single" w:color="auto" w:sz="4" w:space="0"/>
              <w:right w:val="single" w:color="auto" w:sz="4" w:space="0"/>
            </w:tcBorders>
            <w:noWrap w:val="0"/>
            <w:vAlign w:val="center"/>
          </w:tcPr>
          <w:p w14:paraId="6F30B20C">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67817323">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不影响</w:t>
            </w:r>
          </w:p>
        </w:tc>
        <w:tc>
          <w:tcPr>
            <w:tcW w:w="828" w:type="dxa"/>
            <w:tcBorders>
              <w:top w:val="single" w:color="auto" w:sz="4" w:space="0"/>
              <w:left w:val="single" w:color="auto" w:sz="4" w:space="0"/>
              <w:bottom w:val="single" w:color="auto" w:sz="4" w:space="0"/>
              <w:right w:val="single" w:color="auto" w:sz="4" w:space="0"/>
            </w:tcBorders>
            <w:noWrap w:val="0"/>
            <w:vAlign w:val="center"/>
          </w:tcPr>
          <w:p w14:paraId="646BCAA6">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523A690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2196" w:type="dxa"/>
            <w:tcBorders>
              <w:top w:val="single" w:color="auto" w:sz="4" w:space="0"/>
              <w:left w:val="single" w:color="auto" w:sz="4" w:space="0"/>
              <w:bottom w:val="single" w:color="auto" w:sz="4" w:space="0"/>
              <w:right w:val="single" w:color="auto" w:sz="4" w:space="0"/>
            </w:tcBorders>
            <w:noWrap w:val="0"/>
            <w:vAlign w:val="center"/>
          </w:tcPr>
          <w:p w14:paraId="51FEE4BA">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14:paraId="26A9CE13">
        <w:tblPrEx>
          <w:tblCellMar>
            <w:top w:w="0" w:type="dxa"/>
            <w:left w:w="108" w:type="dxa"/>
            <w:bottom w:w="0" w:type="dxa"/>
            <w:right w:w="108" w:type="dxa"/>
          </w:tblCellMar>
        </w:tblPrEx>
        <w:trPr>
          <w:trHeight w:val="1330" w:hRule="atLeast"/>
          <w:jc w:val="center"/>
        </w:trPr>
        <w:tc>
          <w:tcPr>
            <w:tcW w:w="1080" w:type="dxa"/>
            <w:vMerge w:val="continue"/>
            <w:tcBorders>
              <w:left w:val="single" w:color="auto" w:sz="4" w:space="0"/>
              <w:right w:val="single" w:color="auto" w:sz="4" w:space="0"/>
            </w:tcBorders>
            <w:noWrap w:val="0"/>
            <w:vAlign w:val="center"/>
          </w:tcPr>
          <w:p w14:paraId="7EC6744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6E5D728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68" w:type="dxa"/>
            <w:tcBorders>
              <w:top w:val="single" w:color="auto" w:sz="4" w:space="0"/>
              <w:left w:val="single" w:color="auto" w:sz="4" w:space="0"/>
              <w:bottom w:val="single" w:color="auto" w:sz="4" w:space="0"/>
              <w:right w:val="single" w:color="auto" w:sz="4" w:space="0"/>
            </w:tcBorders>
            <w:noWrap w:val="0"/>
            <w:vAlign w:val="center"/>
          </w:tcPr>
          <w:p w14:paraId="715534C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92" w:type="dxa"/>
            <w:tcBorders>
              <w:top w:val="single" w:color="auto" w:sz="4" w:space="0"/>
              <w:left w:val="single" w:color="auto" w:sz="4" w:space="0"/>
              <w:bottom w:val="single" w:color="auto" w:sz="4" w:space="0"/>
              <w:right w:val="single" w:color="auto" w:sz="4" w:space="0"/>
            </w:tcBorders>
            <w:noWrap w:val="0"/>
            <w:vAlign w:val="center"/>
          </w:tcPr>
          <w:p w14:paraId="350E4262">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做好全区宣传工作，在全区形成良好的文明社会风尚</w:t>
            </w:r>
          </w:p>
        </w:tc>
        <w:tc>
          <w:tcPr>
            <w:tcW w:w="978" w:type="dxa"/>
            <w:tcBorders>
              <w:top w:val="single" w:color="auto" w:sz="4" w:space="0"/>
              <w:left w:val="single" w:color="auto" w:sz="4" w:space="0"/>
              <w:bottom w:val="single" w:color="auto" w:sz="4" w:space="0"/>
              <w:right w:val="single" w:color="auto" w:sz="4" w:space="0"/>
            </w:tcBorders>
            <w:noWrap w:val="0"/>
            <w:vAlign w:val="center"/>
          </w:tcPr>
          <w:p w14:paraId="4A85845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rPr>
              <w:t>　</w:t>
            </w:r>
            <w:r>
              <w:rPr>
                <w:rFonts w:hint="eastAsia" w:ascii="仿宋_GB2312" w:hAnsi="仿宋_GB2312" w:eastAsia="仿宋_GB2312" w:cs="仿宋_GB2312"/>
                <w:color w:val="000000"/>
                <w:sz w:val="20"/>
                <w:szCs w:val="20"/>
                <w:lang w:eastAsia="zh-CN"/>
              </w:rPr>
              <w:t>效果显著</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7AE7FAFE">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效果显著</w:t>
            </w:r>
          </w:p>
        </w:tc>
        <w:tc>
          <w:tcPr>
            <w:tcW w:w="828" w:type="dxa"/>
            <w:tcBorders>
              <w:top w:val="single" w:color="auto" w:sz="4" w:space="0"/>
              <w:left w:val="single" w:color="auto" w:sz="4" w:space="0"/>
              <w:bottom w:val="single" w:color="auto" w:sz="4" w:space="0"/>
              <w:right w:val="single" w:color="auto" w:sz="4" w:space="0"/>
            </w:tcBorders>
            <w:noWrap w:val="0"/>
            <w:vAlign w:val="center"/>
          </w:tcPr>
          <w:p w14:paraId="6620EE01">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633B716E">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2196" w:type="dxa"/>
            <w:tcBorders>
              <w:top w:val="single" w:color="auto" w:sz="4" w:space="0"/>
              <w:left w:val="single" w:color="auto" w:sz="4" w:space="0"/>
              <w:bottom w:val="single" w:color="auto" w:sz="4" w:space="0"/>
              <w:right w:val="single" w:color="auto" w:sz="4" w:space="0"/>
            </w:tcBorders>
            <w:noWrap w:val="0"/>
            <w:vAlign w:val="center"/>
          </w:tcPr>
          <w:p w14:paraId="59A36F47">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14:paraId="20575A69">
        <w:tblPrEx>
          <w:tblCellMar>
            <w:top w:w="0" w:type="dxa"/>
            <w:left w:w="108" w:type="dxa"/>
            <w:bottom w:w="0" w:type="dxa"/>
            <w:right w:w="108" w:type="dxa"/>
          </w:tblCellMar>
        </w:tblPrEx>
        <w:trPr>
          <w:trHeight w:val="640" w:hRule="atLeast"/>
          <w:jc w:val="center"/>
        </w:trPr>
        <w:tc>
          <w:tcPr>
            <w:tcW w:w="1080" w:type="dxa"/>
            <w:vMerge w:val="continue"/>
            <w:tcBorders>
              <w:left w:val="single" w:color="auto" w:sz="4" w:space="0"/>
              <w:right w:val="single" w:color="auto" w:sz="4" w:space="0"/>
            </w:tcBorders>
            <w:noWrap w:val="0"/>
            <w:vAlign w:val="center"/>
          </w:tcPr>
          <w:p w14:paraId="6BE641A1">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14:paraId="79ABBC3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14:paraId="7911A2E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14:paraId="63FF033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168" w:type="dxa"/>
            <w:tcBorders>
              <w:top w:val="single" w:color="auto" w:sz="4" w:space="0"/>
              <w:left w:val="single" w:color="auto" w:sz="4" w:space="0"/>
              <w:bottom w:val="single" w:color="auto" w:sz="4" w:space="0"/>
              <w:right w:val="single" w:color="auto" w:sz="4" w:space="0"/>
            </w:tcBorders>
            <w:noWrap w:val="0"/>
            <w:vAlign w:val="center"/>
          </w:tcPr>
          <w:p w14:paraId="6D8065E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92" w:type="dxa"/>
            <w:tcBorders>
              <w:top w:val="single" w:color="auto" w:sz="4" w:space="0"/>
              <w:left w:val="single" w:color="auto" w:sz="4" w:space="0"/>
              <w:bottom w:val="single" w:color="auto" w:sz="4" w:space="0"/>
              <w:right w:val="single" w:color="auto" w:sz="4" w:space="0"/>
            </w:tcBorders>
            <w:noWrap w:val="0"/>
            <w:vAlign w:val="center"/>
          </w:tcPr>
          <w:p w14:paraId="5CCD35F4">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群众满意度</w:t>
            </w:r>
          </w:p>
        </w:tc>
        <w:tc>
          <w:tcPr>
            <w:tcW w:w="978" w:type="dxa"/>
            <w:tcBorders>
              <w:top w:val="single" w:color="auto" w:sz="4" w:space="0"/>
              <w:left w:val="single" w:color="auto" w:sz="4" w:space="0"/>
              <w:bottom w:val="single" w:color="auto" w:sz="4" w:space="0"/>
              <w:right w:val="single" w:color="auto" w:sz="4" w:space="0"/>
            </w:tcBorders>
            <w:noWrap w:val="0"/>
            <w:vAlign w:val="center"/>
          </w:tcPr>
          <w:p w14:paraId="09FE60AE">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304B9A69">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828" w:type="dxa"/>
            <w:tcBorders>
              <w:top w:val="single" w:color="auto" w:sz="4" w:space="0"/>
              <w:left w:val="single" w:color="auto" w:sz="4" w:space="0"/>
              <w:bottom w:val="single" w:color="auto" w:sz="4" w:space="0"/>
              <w:right w:val="single" w:color="auto" w:sz="4" w:space="0"/>
            </w:tcBorders>
            <w:noWrap w:val="0"/>
            <w:vAlign w:val="center"/>
          </w:tcPr>
          <w:p w14:paraId="434E3DA9">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0F6BAF5C">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2196" w:type="dxa"/>
            <w:tcBorders>
              <w:top w:val="single" w:color="auto" w:sz="4" w:space="0"/>
              <w:left w:val="single" w:color="auto" w:sz="4" w:space="0"/>
              <w:bottom w:val="single" w:color="auto" w:sz="4" w:space="0"/>
              <w:right w:val="single" w:color="auto" w:sz="4" w:space="0"/>
            </w:tcBorders>
            <w:noWrap w:val="0"/>
            <w:vAlign w:val="center"/>
          </w:tcPr>
          <w:p w14:paraId="4B5088D7">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14:paraId="7D941509">
        <w:tblPrEx>
          <w:tblCellMar>
            <w:top w:w="0" w:type="dxa"/>
            <w:left w:w="108" w:type="dxa"/>
            <w:bottom w:w="0" w:type="dxa"/>
            <w:right w:w="108" w:type="dxa"/>
          </w:tblCellMar>
        </w:tblPrEx>
        <w:trPr>
          <w:jc w:val="center"/>
        </w:trPr>
        <w:tc>
          <w:tcPr>
            <w:tcW w:w="6732" w:type="dxa"/>
            <w:gridSpan w:val="6"/>
            <w:tcBorders>
              <w:top w:val="single" w:color="auto" w:sz="4" w:space="0"/>
              <w:left w:val="single" w:color="auto" w:sz="4" w:space="0"/>
              <w:bottom w:val="single" w:color="auto" w:sz="4" w:space="0"/>
              <w:right w:val="single" w:color="auto" w:sz="4" w:space="0"/>
            </w:tcBorders>
            <w:noWrap w:val="0"/>
            <w:vAlign w:val="center"/>
          </w:tcPr>
          <w:p w14:paraId="4826E7F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28" w:type="dxa"/>
            <w:tcBorders>
              <w:top w:val="single" w:color="auto" w:sz="4" w:space="0"/>
              <w:left w:val="single" w:color="auto" w:sz="4" w:space="0"/>
              <w:bottom w:val="single" w:color="auto" w:sz="4" w:space="0"/>
              <w:right w:val="single" w:color="auto" w:sz="4" w:space="0"/>
            </w:tcBorders>
            <w:noWrap w:val="0"/>
            <w:vAlign w:val="center"/>
          </w:tcPr>
          <w:p w14:paraId="7CD1DFB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2682A54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98</w:t>
            </w:r>
          </w:p>
        </w:tc>
        <w:tc>
          <w:tcPr>
            <w:tcW w:w="2196" w:type="dxa"/>
            <w:tcBorders>
              <w:top w:val="single" w:color="auto" w:sz="4" w:space="0"/>
              <w:left w:val="single" w:color="auto" w:sz="4" w:space="0"/>
              <w:bottom w:val="single" w:color="auto" w:sz="4" w:space="0"/>
              <w:right w:val="single" w:color="auto" w:sz="4" w:space="0"/>
            </w:tcBorders>
            <w:noWrap w:val="0"/>
            <w:vAlign w:val="center"/>
          </w:tcPr>
          <w:p w14:paraId="57E6B30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14:paraId="761350E1">
      <w:pPr>
        <w:rPr>
          <w:rFonts w:hint="default" w:ascii="Times New Roman" w:hAnsi="Times New Roman" w:eastAsia="仿宋_GB2312" w:cs="Times New Roman"/>
          <w:sz w:val="18"/>
          <w:szCs w:val="18"/>
          <w:highlight w:val="none"/>
        </w:rPr>
      </w:pPr>
    </w:p>
    <w:p w14:paraId="70E68CA2">
      <w:r>
        <w:rPr>
          <w:rFonts w:hint="default" w:ascii="Times New Roman" w:hAnsi="Times New Roman" w:eastAsia="仿宋_GB2312" w:cs="Times New Roman"/>
          <w:sz w:val="18"/>
          <w:szCs w:val="18"/>
          <w:highlight w:val="none"/>
        </w:rPr>
        <w:t>备注：一个一级项目支出一张表。</w:t>
      </w:r>
      <w:r>
        <w:rPr>
          <w:rFonts w:hint="eastAsia" w:ascii="Times New Roman" w:hAnsi="Times New Roman" w:eastAsia="仿宋_GB2312" w:cs="Times New Roman"/>
          <w:sz w:val="18"/>
          <w:szCs w:val="18"/>
          <w:highlight w:val="none"/>
          <w:lang w:eastAsia="zh-CN"/>
        </w:rPr>
        <w:t>如，</w:t>
      </w:r>
      <w:r>
        <w:rPr>
          <w:rFonts w:hint="default" w:ascii="Times New Roman" w:hAnsi="Times New Roman" w:eastAsia="仿宋_GB2312" w:cs="Times New Roman"/>
          <w:sz w:val="18"/>
          <w:szCs w:val="18"/>
          <w:highlight w:val="none"/>
        </w:rPr>
        <w:t>业务工作经费</w:t>
      </w:r>
      <w:r>
        <w:rPr>
          <w:rFonts w:hint="eastAsia" w:ascii="Times New Roman" w:hAnsi="Times New Roman" w:eastAsia="仿宋_GB2312" w:cs="Times New Roman"/>
          <w:sz w:val="18"/>
          <w:szCs w:val="18"/>
          <w:highlight w:val="none"/>
          <w:lang w:eastAsia="zh-CN"/>
        </w:rPr>
        <w:t>，</w:t>
      </w:r>
      <w:r>
        <w:rPr>
          <w:rFonts w:hint="default" w:ascii="Times New Roman" w:hAnsi="Times New Roman" w:eastAsia="仿宋_GB2312" w:cs="Times New Roman"/>
          <w:sz w:val="18"/>
          <w:szCs w:val="18"/>
          <w:highlight w:val="none"/>
        </w:rPr>
        <w:t>运行维护经费</w:t>
      </w:r>
      <w:r>
        <w:rPr>
          <w:rFonts w:hint="eastAsia" w:ascii="Times New Roman" w:hAnsi="Times New Roman" w:eastAsia="仿宋_GB2312" w:cs="Times New Roman"/>
          <w:sz w:val="18"/>
          <w:szCs w:val="18"/>
          <w:highlight w:val="none"/>
          <w:lang w:eastAsia="zh-CN"/>
        </w:rPr>
        <w:t>，其他事业发展类资金…各一张表。</w:t>
      </w:r>
      <w:r>
        <w:rPr>
          <w:rFonts w:hint="default" w:ascii="Times New Roman" w:hAnsi="Times New Roman" w:eastAsia="仿宋_GB2312" w:cs="Times New Roman"/>
          <w:sz w:val="22"/>
          <w:szCs w:val="22"/>
          <w:highlight w:val="none"/>
        </w:rPr>
        <w:t xml:space="preserve">填表人：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填报日期：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联系电话：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 单位负责人签字：</w:t>
      </w:r>
    </w:p>
    <w:p w14:paraId="40783903">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Times New Roman" w:hAnsi="Times New Roman" w:eastAsia="仿宋_GB2312" w:cs="Times New Roman"/>
          <w:sz w:val="22"/>
          <w:szCs w:val="22"/>
          <w:highlight w:val="none"/>
          <w:lang w:eastAsia="zh-CN"/>
        </w:rPr>
      </w:pPr>
    </w:p>
    <w:sectPr>
      <w:pgSz w:w="11906" w:h="16838"/>
      <w:pgMar w:top="1213" w:right="1800" w:bottom="1213"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Segoe UI"/>
    <w:panose1 w:val="020F0502020204030204"/>
    <w:charset w:val="00"/>
    <w:family w:val="swiss"/>
    <w:pitch w:val="default"/>
    <w:sig w:usb0="00000000" w:usb1="00000000" w:usb2="00000001" w:usb3="00000000" w:csb0="0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Segoe UI">
    <w:panose1 w:val="020B0502040204020203"/>
    <w:charset w:val="00"/>
    <w:family w:val="auto"/>
    <w:pitch w:val="default"/>
    <w:sig w:usb0="E4002EFF" w:usb1="C000E47F"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E55167"/>
    <w:multiLevelType w:val="singleLevel"/>
    <w:tmpl w:val="A5E55167"/>
    <w:lvl w:ilvl="0" w:tentative="0">
      <w:start w:val="8"/>
      <w:numFmt w:val="chineseCounting"/>
      <w:suff w:val="nothing"/>
      <w:lvlText w:val="%1、"/>
      <w:lvlJc w:val="left"/>
      <w:rPr>
        <w:rFonts w:hint="eastAsia"/>
      </w:rPr>
    </w:lvl>
  </w:abstractNum>
  <w:abstractNum w:abstractNumId="1">
    <w:nsid w:val="1113A4A2"/>
    <w:multiLevelType w:val="singleLevel"/>
    <w:tmpl w:val="1113A4A2"/>
    <w:lvl w:ilvl="0" w:tentative="0">
      <w:start w:val="1"/>
      <w:numFmt w:val="chineseCounting"/>
      <w:suff w:val="nothing"/>
      <w:lvlText w:val="（%1）"/>
      <w:lvlJc w:val="left"/>
      <w:rPr>
        <w:rFonts w:hint="eastAsia"/>
      </w:rPr>
    </w:lvl>
  </w:abstractNum>
  <w:abstractNum w:abstractNumId="2">
    <w:nsid w:val="425036FE"/>
    <w:multiLevelType w:val="singleLevel"/>
    <w:tmpl w:val="425036FE"/>
    <w:lvl w:ilvl="0" w:tentative="0">
      <w:start w:val="2"/>
      <w:numFmt w:val="chineseCounting"/>
      <w:suff w:val="nothing"/>
      <w:lvlText w:val="（%1）"/>
      <w:lvlJc w:val="left"/>
      <w:rPr>
        <w:rFonts w:hint="eastAsia"/>
      </w:rPr>
    </w:lvl>
  </w:abstractNum>
  <w:abstractNum w:abstractNumId="3">
    <w:nsid w:val="7F0490DB"/>
    <w:multiLevelType w:val="singleLevel"/>
    <w:tmpl w:val="7F0490DB"/>
    <w:lvl w:ilvl="0" w:tentative="0">
      <w:start w:val="1"/>
      <w:numFmt w:val="chineseCounting"/>
      <w:suff w:val="nothing"/>
      <w:lvlText w:val="%1、"/>
      <w:lvlJc w:val="left"/>
      <w:rPr>
        <w:rFonts w:hint="eastAsia"/>
      </w:rPr>
    </w:lvl>
  </w:abstractNum>
  <w:abstractNum w:abstractNumId="4">
    <w:nsid w:val="7F66692C"/>
    <w:multiLevelType w:val="singleLevel"/>
    <w:tmpl w:val="7F66692C"/>
    <w:lvl w:ilvl="0" w:tentative="0">
      <w:start w:val="3"/>
      <w:numFmt w:val="chineseCounting"/>
      <w:suff w:val="nothing"/>
      <w:lvlText w:val="（%1）"/>
      <w:lvlJc w:val="left"/>
      <w:rPr>
        <w:rFonts w:hint="eastAsia"/>
      </w:rPr>
    </w:lvl>
  </w:abstractNum>
  <w:num w:numId="1">
    <w:abstractNumId w:val="3"/>
  </w:num>
  <w:num w:numId="2">
    <w:abstractNumId w:val="4"/>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NiODY4M2NlNzNhM2YyZTYxMjk2NDU3ZTJkODY1ZDAifQ=="/>
  </w:docVars>
  <w:rsids>
    <w:rsidRoot w:val="59886344"/>
    <w:rsid w:val="005C088A"/>
    <w:rsid w:val="0061443A"/>
    <w:rsid w:val="00F57038"/>
    <w:rsid w:val="03585F5D"/>
    <w:rsid w:val="0368705F"/>
    <w:rsid w:val="039F578D"/>
    <w:rsid w:val="03E40645"/>
    <w:rsid w:val="05193F25"/>
    <w:rsid w:val="05F16DA0"/>
    <w:rsid w:val="067D155B"/>
    <w:rsid w:val="072A0D5E"/>
    <w:rsid w:val="07AE39F0"/>
    <w:rsid w:val="086E1AA3"/>
    <w:rsid w:val="08D531AA"/>
    <w:rsid w:val="0A0718F5"/>
    <w:rsid w:val="0A23066B"/>
    <w:rsid w:val="0B521208"/>
    <w:rsid w:val="0BD0037E"/>
    <w:rsid w:val="0BD07CC1"/>
    <w:rsid w:val="0EB421D9"/>
    <w:rsid w:val="0F29227F"/>
    <w:rsid w:val="0FC41FA8"/>
    <w:rsid w:val="101F6442"/>
    <w:rsid w:val="104073FF"/>
    <w:rsid w:val="11B20C52"/>
    <w:rsid w:val="12D32267"/>
    <w:rsid w:val="13794251"/>
    <w:rsid w:val="13D670D0"/>
    <w:rsid w:val="13DA2702"/>
    <w:rsid w:val="1405311A"/>
    <w:rsid w:val="15B556B4"/>
    <w:rsid w:val="172B2124"/>
    <w:rsid w:val="172D2B29"/>
    <w:rsid w:val="17AD2D85"/>
    <w:rsid w:val="17DC7904"/>
    <w:rsid w:val="18096877"/>
    <w:rsid w:val="18A72D74"/>
    <w:rsid w:val="192E77AB"/>
    <w:rsid w:val="198A7D37"/>
    <w:rsid w:val="1A357D6B"/>
    <w:rsid w:val="1CA92FCC"/>
    <w:rsid w:val="1DD737EE"/>
    <w:rsid w:val="1E284F2F"/>
    <w:rsid w:val="1E74728F"/>
    <w:rsid w:val="1ECA401E"/>
    <w:rsid w:val="1F417171"/>
    <w:rsid w:val="1F9C4CF0"/>
    <w:rsid w:val="1F9F20EA"/>
    <w:rsid w:val="1FE411A4"/>
    <w:rsid w:val="20717F2A"/>
    <w:rsid w:val="20BF6616"/>
    <w:rsid w:val="20F87A39"/>
    <w:rsid w:val="216B6728"/>
    <w:rsid w:val="21ED428B"/>
    <w:rsid w:val="24BE2C1C"/>
    <w:rsid w:val="276A5A12"/>
    <w:rsid w:val="27CB7F20"/>
    <w:rsid w:val="292C7FA1"/>
    <w:rsid w:val="2A100353"/>
    <w:rsid w:val="2A450AA9"/>
    <w:rsid w:val="2A8D3BB3"/>
    <w:rsid w:val="2B0F3E96"/>
    <w:rsid w:val="2BAA0E41"/>
    <w:rsid w:val="2D410C84"/>
    <w:rsid w:val="2D4657EE"/>
    <w:rsid w:val="2F0E4B96"/>
    <w:rsid w:val="2F2045CC"/>
    <w:rsid w:val="310A747F"/>
    <w:rsid w:val="317A4765"/>
    <w:rsid w:val="31D34490"/>
    <w:rsid w:val="320B53DF"/>
    <w:rsid w:val="321D3FE2"/>
    <w:rsid w:val="32C548F8"/>
    <w:rsid w:val="338F7C73"/>
    <w:rsid w:val="34583820"/>
    <w:rsid w:val="354F02FC"/>
    <w:rsid w:val="35CF5E74"/>
    <w:rsid w:val="365B2DB7"/>
    <w:rsid w:val="38C118F0"/>
    <w:rsid w:val="3B23785C"/>
    <w:rsid w:val="3C156456"/>
    <w:rsid w:val="3C2C64D2"/>
    <w:rsid w:val="3CB537CF"/>
    <w:rsid w:val="3CF73497"/>
    <w:rsid w:val="3D070645"/>
    <w:rsid w:val="3F696B11"/>
    <w:rsid w:val="40F273ED"/>
    <w:rsid w:val="41B63929"/>
    <w:rsid w:val="41F76A00"/>
    <w:rsid w:val="42182D4E"/>
    <w:rsid w:val="427C2F78"/>
    <w:rsid w:val="42907FB1"/>
    <w:rsid w:val="43B151C2"/>
    <w:rsid w:val="440B0BF3"/>
    <w:rsid w:val="44182F4F"/>
    <w:rsid w:val="44401EAB"/>
    <w:rsid w:val="4441183E"/>
    <w:rsid w:val="445265DF"/>
    <w:rsid w:val="44930287"/>
    <w:rsid w:val="458D5615"/>
    <w:rsid w:val="45E61CF8"/>
    <w:rsid w:val="4710374A"/>
    <w:rsid w:val="47E02332"/>
    <w:rsid w:val="47F62B74"/>
    <w:rsid w:val="4829354E"/>
    <w:rsid w:val="48770C66"/>
    <w:rsid w:val="493812F4"/>
    <w:rsid w:val="497F0684"/>
    <w:rsid w:val="49A50F0B"/>
    <w:rsid w:val="49C65963"/>
    <w:rsid w:val="49FF2520"/>
    <w:rsid w:val="4A747320"/>
    <w:rsid w:val="4B9C166F"/>
    <w:rsid w:val="4BFF337F"/>
    <w:rsid w:val="4C404189"/>
    <w:rsid w:val="4C4A70AB"/>
    <w:rsid w:val="4EC87298"/>
    <w:rsid w:val="503F0BFC"/>
    <w:rsid w:val="506858F0"/>
    <w:rsid w:val="540612DD"/>
    <w:rsid w:val="54326440"/>
    <w:rsid w:val="54622945"/>
    <w:rsid w:val="55215252"/>
    <w:rsid w:val="55241353"/>
    <w:rsid w:val="56624142"/>
    <w:rsid w:val="568878EC"/>
    <w:rsid w:val="56EE3E47"/>
    <w:rsid w:val="570F7BE9"/>
    <w:rsid w:val="577354C1"/>
    <w:rsid w:val="577B448C"/>
    <w:rsid w:val="57EA583A"/>
    <w:rsid w:val="57F152A0"/>
    <w:rsid w:val="58393127"/>
    <w:rsid w:val="590429E2"/>
    <w:rsid w:val="59886344"/>
    <w:rsid w:val="59BB0154"/>
    <w:rsid w:val="5AF440A0"/>
    <w:rsid w:val="5B0A331F"/>
    <w:rsid w:val="5B192C82"/>
    <w:rsid w:val="5B277F80"/>
    <w:rsid w:val="5B411CCC"/>
    <w:rsid w:val="5B950730"/>
    <w:rsid w:val="5C1263A3"/>
    <w:rsid w:val="5E8C14B0"/>
    <w:rsid w:val="5EE144F9"/>
    <w:rsid w:val="607D37A6"/>
    <w:rsid w:val="61045C75"/>
    <w:rsid w:val="619E0691"/>
    <w:rsid w:val="623B35BF"/>
    <w:rsid w:val="62A2257D"/>
    <w:rsid w:val="62D378CB"/>
    <w:rsid w:val="63202106"/>
    <w:rsid w:val="634520A2"/>
    <w:rsid w:val="63C60FC0"/>
    <w:rsid w:val="63F8378C"/>
    <w:rsid w:val="6410048D"/>
    <w:rsid w:val="64CF6C8F"/>
    <w:rsid w:val="65B732B6"/>
    <w:rsid w:val="668A4F2B"/>
    <w:rsid w:val="67270437"/>
    <w:rsid w:val="674F6FAE"/>
    <w:rsid w:val="68DD5D2B"/>
    <w:rsid w:val="69FC76B5"/>
    <w:rsid w:val="6A7B3442"/>
    <w:rsid w:val="6B570BD3"/>
    <w:rsid w:val="6B7B14D4"/>
    <w:rsid w:val="6B99345E"/>
    <w:rsid w:val="6BCB7FB6"/>
    <w:rsid w:val="6BE44327"/>
    <w:rsid w:val="6C303DC2"/>
    <w:rsid w:val="6CA97D11"/>
    <w:rsid w:val="6D800432"/>
    <w:rsid w:val="6E076DA5"/>
    <w:rsid w:val="6E705326"/>
    <w:rsid w:val="6EBC4974"/>
    <w:rsid w:val="6EC01A4C"/>
    <w:rsid w:val="6ED22F0F"/>
    <w:rsid w:val="6EF47329"/>
    <w:rsid w:val="6F0D3B6F"/>
    <w:rsid w:val="6F41220A"/>
    <w:rsid w:val="70F133F4"/>
    <w:rsid w:val="71973F9C"/>
    <w:rsid w:val="73102258"/>
    <w:rsid w:val="7399049F"/>
    <w:rsid w:val="73BF6C6B"/>
    <w:rsid w:val="73FF709F"/>
    <w:rsid w:val="744A1F6D"/>
    <w:rsid w:val="74916A9D"/>
    <w:rsid w:val="74CC658B"/>
    <w:rsid w:val="74EC4E86"/>
    <w:rsid w:val="758D6016"/>
    <w:rsid w:val="767D7DFF"/>
    <w:rsid w:val="768770CB"/>
    <w:rsid w:val="7728263E"/>
    <w:rsid w:val="77E67A2B"/>
    <w:rsid w:val="79607369"/>
    <w:rsid w:val="798C015E"/>
    <w:rsid w:val="7A5614FA"/>
    <w:rsid w:val="7C0A7761"/>
    <w:rsid w:val="7C7D6B26"/>
    <w:rsid w:val="7C9150AE"/>
    <w:rsid w:val="7F2A13E6"/>
    <w:rsid w:val="7F343489"/>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 w:hAnsi="仿宋" w:eastAsia="宋体" w:cs="Times New Roman"/>
      <w:kern w:val="0"/>
      <w:sz w:val="28"/>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spacing w:before="100" w:beforeAutospacing="1" w:after="0"/>
      <w:ind w:left="0" w:firstLine="420" w:firstLineChars="200"/>
    </w:pPr>
    <w:rPr>
      <w:rFonts w:ascii="Calibri" w:hAnsi="Calibri"/>
    </w:rPr>
  </w:style>
  <w:style w:type="paragraph" w:styleId="3">
    <w:name w:val="Body Text Indent"/>
    <w:basedOn w:val="1"/>
    <w:qFormat/>
    <w:uiPriority w:val="0"/>
    <w:pPr>
      <w:spacing w:after="120"/>
      <w:ind w:left="420" w:leftChars="200"/>
    </w:pPr>
    <w:rPr>
      <w:rFonts w:eastAsia="宋体" w:cs="Times New Roman"/>
    </w:rPr>
  </w:style>
  <w:style w:type="paragraph" w:styleId="4">
    <w:name w:val="Normal Indent"/>
    <w:basedOn w:val="1"/>
    <w:unhideWhenUsed/>
    <w:qFormat/>
    <w:uiPriority w:val="99"/>
    <w:pPr>
      <w:ind w:firstLine="420" w:firstLineChars="200"/>
    </w:pPr>
  </w:style>
  <w:style w:type="paragraph" w:styleId="5">
    <w:name w:val="Body Text"/>
    <w:basedOn w:val="1"/>
    <w:semiHidden/>
    <w:qFormat/>
    <w:uiPriority w:val="0"/>
    <w:rPr>
      <w:rFonts w:ascii="仿宋" w:hAnsi="仿宋" w:eastAsia="仿宋" w:cs="仿宋"/>
      <w:sz w:val="31"/>
      <w:szCs w:val="31"/>
      <w:lang w:val="en-US" w:eastAsia="en-US" w:bidi="ar-SA"/>
    </w:rPr>
  </w:style>
  <w:style w:type="paragraph" w:styleId="6">
    <w:name w:val="Normal (Web)"/>
    <w:basedOn w:val="1"/>
    <w:qFormat/>
    <w:uiPriority w:val="0"/>
    <w:pPr>
      <w:spacing w:before="100" w:beforeAutospacing="1" w:after="100" w:afterAutospacing="1"/>
      <w:ind w:left="0" w:right="0"/>
      <w:jc w:val="left"/>
    </w:pPr>
    <w:rPr>
      <w:kern w:val="0"/>
      <w:sz w:val="24"/>
      <w:lang w:val="en-US" w:eastAsia="zh-CN" w:bidi="ar"/>
    </w:rPr>
  </w:style>
  <w:style w:type="paragraph" w:customStyle="1" w:styleId="9">
    <w:name w:val="BodyText"/>
    <w:basedOn w:val="1"/>
    <w:next w:val="10"/>
    <w:qFormat/>
    <w:uiPriority w:val="0"/>
    <w:pPr>
      <w:textAlignment w:val="baseline"/>
    </w:pPr>
    <w:rPr>
      <w:rFonts w:ascii="仿宋_GB2312" w:hAnsi="仿宋_GB2312" w:eastAsia="仿宋_GB2312"/>
      <w:sz w:val="32"/>
      <w:szCs w:val="32"/>
      <w:lang w:val="zh-CN" w:bidi="zh-CN"/>
    </w:rPr>
  </w:style>
  <w:style w:type="paragraph" w:customStyle="1" w:styleId="10">
    <w:name w:val="BodyText1I"/>
    <w:basedOn w:val="9"/>
    <w:qFormat/>
    <w:uiPriority w:val="0"/>
    <w:pPr>
      <w:ind w:firstLine="420" w:firstLineChars="100"/>
      <w:textAlignment w:val="baseline"/>
    </w:pPr>
    <w:rPr>
      <w:rFonts w:ascii="仿宋_GB2312" w:hAnsi="仿宋_GB2312" w:eastAsia="仿宋_GB2312" w:cs="宋体"/>
      <w:sz w:val="32"/>
      <w:szCs w:val="32"/>
      <w:lang w:val="zh-CN" w:bidi="zh-CN"/>
    </w:rPr>
  </w:style>
  <w:style w:type="paragraph" w:customStyle="1" w:styleId="11">
    <w:name w:val="列出段落1"/>
    <w:basedOn w:val="1"/>
    <w:qFormat/>
    <w:uiPriority w:val="34"/>
    <w:pPr>
      <w:ind w:firstLine="420" w:firstLineChars="200"/>
    </w:pPr>
  </w:style>
  <w:style w:type="paragraph" w:styleId="12">
    <w:name w:val="List Paragraph"/>
    <w:basedOn w:val="1"/>
    <w:qFormat/>
    <w:uiPriority w:val="99"/>
    <w:pPr>
      <w:ind w:firstLine="420" w:firstLineChars="200"/>
    </w:pPr>
    <w:rPr>
      <w:rFonts w:ascii="Calibri" w:hAnsi="Calibri"/>
      <w:szCs w:val="22"/>
    </w:rPr>
  </w:style>
  <w:style w:type="paragraph" w:customStyle="1" w:styleId="13">
    <w:name w:val="p0"/>
    <w:basedOn w:val="1"/>
    <w:qFormat/>
    <w:uiPriority w:val="99"/>
    <w:pPr>
      <w:widowControl/>
    </w:pPr>
    <w:rPr>
      <w:rFonts w:ascii="Times New Roman" w:hAnsi="Times New Roman"/>
      <w:kern w:val="0"/>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18</Pages>
  <Words>7907</Words>
  <Characters>8396</Characters>
  <Lines>0</Lines>
  <Paragraphs>0</Paragraphs>
  <TotalTime>15</TotalTime>
  <ScaleCrop>false</ScaleCrop>
  <LinksUpToDate>false</LinksUpToDate>
  <CharactersWithSpaces>8674</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Administrator</cp:lastModifiedBy>
  <cp:lastPrinted>2024-07-02T03:11:00Z</cp:lastPrinted>
  <dcterms:modified xsi:type="dcterms:W3CDTF">2024-07-02T03:22:29Z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12C804FB5DC74582993175EDEB038DA2_13</vt:lpwstr>
  </property>
</Properties>
</file>