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2"/>
        <w:tblW w:w="1007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254"/>
        <w:gridCol w:w="1327"/>
        <w:gridCol w:w="1133"/>
        <w:gridCol w:w="852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岳阳市君山区自然资源局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4,870.96  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1,566.53  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1,566.53 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1,566.53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其中：基本支出： 687.17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 0.00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项目支出： 879.36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0.00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编制国土空问规划，并形成多项成果。</w:t>
            </w:r>
          </w:p>
          <w:p>
            <w:pPr>
              <w:widowControl/>
              <w:numPr>
                <w:ilvl w:val="0"/>
                <w:numId w:val="1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完成“三调工作”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。</w:t>
            </w:r>
          </w:p>
          <w:p>
            <w:pPr>
              <w:widowControl/>
              <w:numPr>
                <w:ilvl w:val="0"/>
                <w:numId w:val="1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优化营商环境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登记服务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工作。</w:t>
            </w:r>
          </w:p>
          <w:p>
            <w:pPr>
              <w:widowControl/>
              <w:numPr>
                <w:ilvl w:val="0"/>
                <w:numId w:val="1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全面落实“田长制”各项工作。</w:t>
            </w:r>
          </w:p>
          <w:p>
            <w:pPr>
              <w:widowControl/>
              <w:numPr>
                <w:ilvl w:val="0"/>
                <w:numId w:val="1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加强存量土地处置、土地快速报批和土地供应保障工作。</w:t>
            </w:r>
          </w:p>
          <w:p>
            <w:pPr>
              <w:widowControl/>
              <w:numPr>
                <w:ilvl w:val="0"/>
                <w:numId w:val="1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完成各项党建工作的方面。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numPr>
                <w:ilvl w:val="0"/>
                <w:numId w:val="2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配合市局完成了《岳阳市国土空间总体规划》级城镇开发边界优化调整工作；完成钱粮湖镇、良心堡镇、许市镇、广兴洲镇4个乡镇国土空间规划初步方案编制；完成我区52个村庄规划质量评估，广兴洲沿江村村庄规划荣获湖南省村庄规划助力“和美乡村”首批优秀案例，濠河村被省厅评为规划编制二等奖，村庄规划被评为A类；开展君山区客运站、君山区人民医院等重大项目规划调整工作。</w:t>
            </w:r>
          </w:p>
          <w:p>
            <w:pPr>
              <w:widowControl/>
              <w:numPr>
                <w:ilvl w:val="0"/>
                <w:numId w:val="2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君山区第三次国土调查土地权属总面积为62711.1公顷，其中国有土地面积为48004.65公顷，集体土地面积为14706.45公顷，图斑总数60448个。</w:t>
            </w:r>
          </w:p>
          <w:p>
            <w:pPr>
              <w:widowControl/>
              <w:numPr>
                <w:ilvl w:val="0"/>
                <w:numId w:val="2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提供邮寄服务16次，上门服务4次，延时服务92次。积极推进“互联网+”不动产登记，新建商品房业务全部转为网上办理，同时预备在登记大厅设立网办自助服务区。实现抵押登记“不见面审批”。推广在线抵押办理，提升了群众获得感和满意率。全年收到群众表扬信33封、赠送锦旗6面。</w:t>
            </w:r>
          </w:p>
          <w:p>
            <w:pPr>
              <w:widowControl/>
              <w:numPr>
                <w:ilvl w:val="0"/>
                <w:numId w:val="2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全面抓实“田长制”各项规定动作，各级田长利用APP开展巡查19895次，巡查距离达到3万公里，巡田任务完成率近100%。耕地“非农化”“非粮化”整改任务117宗，整改销号107宗。补充耕地“春苗行动”排名全省第三。耕地恢复是全市排名第一。2023年耕地开发指标交易可达9000万元。</w:t>
            </w:r>
          </w:p>
          <w:p>
            <w:pPr>
              <w:widowControl/>
              <w:numPr>
                <w:ilvl w:val="0"/>
                <w:numId w:val="2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建立“一地一策”工作台账，实行“挂图作战”和“红绿灯”预警。成立存量土地处置专班，制定“一地一策”“一企一策”的工作方案。共获批建设用地11个批次，批准面积618亩，同比增长76.7%。全年供应土地20宗面积420亩，土地价款1.6亿元。</w:t>
            </w:r>
          </w:p>
          <w:p>
            <w:pPr>
              <w:widowControl/>
              <w:numPr>
                <w:ilvl w:val="0"/>
                <w:numId w:val="2"/>
              </w:num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全年开展党组中心组理论学习12次，完成未巡先改3个方面4个具体问题及六届区委第四轮巡察第二巡察组反馈3个方面14个具体问题的整改落实；组织召开支委会12次，支部党员大会12次等。出台纠“四风”扬“五敢”提“六气”作风建设、廉洁文化进机关活动、干部作风建设专项整治、“两带头五整治”、加强干部职工“八小时以外”监督管理等党风廉政建设文件；常态化开展作风纪律检查等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国土空间规划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工作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 xml:space="preserve"> 4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村庄规划编制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工作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52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52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便民利民服务举措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开展导诊式服务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工作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①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邮寄服务16次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上门服务4次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③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延时服务92次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①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邮寄服务16次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上门服务4次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③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延时服务92次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田长制APP开展巡查工作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FF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FF"/>
                <w:sz w:val="20"/>
                <w:szCs w:val="20"/>
                <w:highlight w:val="none"/>
                <w:lang w:val="en-US" w:eastAsia="zh-CN"/>
              </w:rPr>
              <w:t>19895次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FF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FF"/>
                <w:sz w:val="20"/>
                <w:szCs w:val="20"/>
                <w:highlight w:val="none"/>
                <w:lang w:val="en-US" w:eastAsia="zh-CN"/>
              </w:rPr>
              <w:t>19895次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耕地“非农化”“非粮化”整改任务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①“非粮化”整改任务117宗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②整改销号107宗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①“非粮化”整改任务117宗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②整改销号107宗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建设用地批准个数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11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11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土地供应保障数量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420亩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420亩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国土空问规划成果通过上级部门及专家审查通过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情况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审查通过，达到A类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广兴洲沿江村村庄规划荣获湖南省村庄规划助力“和美乡村”首批优秀案例，濠河村被省厅评为规划编制二等奖，村庄规划被评为A类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重点项目跟踪服务落地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情况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落地率100%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君山区客运站、君山区人民医院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等项目落地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“三调工作”边界抽查差错率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情况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0.00%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通过市、省、国家核查，边界抽查差错率为0.00%，全区检查差错率为0.00%。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批而未供、闲置土地、工业园三类用地处置率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全市县市区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排名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第一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年度内完成年初绩效目标任务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2023年度年初绩效目标任务已基本完成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全年支出控制在预算经费内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不超出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1,566.53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万元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1,566.53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万元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人员经费不超出预算金额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不超出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619.61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万元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619.61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公用经费不超出预算金额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不超出67.57万元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67.57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耕地开发指标交易完成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完成9000万元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9000万元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土地供应保障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土地款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完成供应土地价款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1.6亿元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全年供应土地价款1.6亿元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盘活存量土地，提高土地开发利用水平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存量土地利用率水平提升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批而未供、闲置土地、工业园三类用地处置率排名全市县市区第一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提供便民利民服务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不动产登记服务水平的提升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推进“互联网+”不动产登记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，实现抵押登记“不见面审批”；推广在线抵押办理。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优化营商环境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深化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服务保障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方面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服务提升情况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开展导诊式服务，专人负责对接受理、专岗审核。推进入企送政策、上门解难题、无午休服务等，为办事群众和企业提供“保姆式”政务服务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保护农田，保障耕地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完成耕地保护情况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抓好图斑整治、耕地恢复等工作任务，耕地保护工作取得良好成效，守牢了耕地保护红线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2023年度田长制耕地保护工作获市先进单位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修复生态，保有绿色土地</w:t>
            </w:r>
          </w:p>
        </w:tc>
        <w:tc>
          <w:tcPr>
            <w:tcW w:w="13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ascii="仿宋" w:hAnsi="仿宋" w:eastAsia="仿宋" w:cs="仿宋"/>
                <w:color w:val="000000"/>
                <w:kern w:val="0"/>
                <w:sz w:val="20"/>
                <w:szCs w:val="20"/>
                <w:lang w:val="en-US" w:eastAsia="zh-CN" w:bidi="ar"/>
              </w:rPr>
              <w:t>进一步促进规范的资源管理</w:t>
            </w: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完成地质灾害防治、矿山生态修复等其他重点工作，华龙码头生态修复荣获全省十大范例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群众满意度情况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1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9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30F4280"/>
    <w:multiLevelType w:val="singleLevel"/>
    <w:tmpl w:val="D30F4280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D3BE0DF0"/>
    <w:multiLevelType w:val="singleLevel"/>
    <w:tmpl w:val="D3BE0DF0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A4NzIyN2MxYTlmMzQ1NGE2MjU5NWRkMjhlOGMxYTAifQ=="/>
  </w:docVars>
  <w:rsids>
    <w:rsidRoot w:val="1EFB6A62"/>
    <w:rsid w:val="05DA7607"/>
    <w:rsid w:val="0D9338EF"/>
    <w:rsid w:val="1EFB6A62"/>
    <w:rsid w:val="1FD56129"/>
    <w:rsid w:val="31E37FA3"/>
    <w:rsid w:val="54731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2060</Words>
  <Characters>2297</Characters>
  <Lines>0</Lines>
  <Paragraphs>0</Paragraphs>
  <TotalTime>200</TotalTime>
  <ScaleCrop>false</ScaleCrop>
  <LinksUpToDate>false</LinksUpToDate>
  <CharactersWithSpaces>2393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2024-06-13T07:07:00Z</dcterms:created>
  <dc:creator>曾茜</dc:creator>
  <cp:lastModifiedBy>邬浩宇妈妈</cp:lastModifiedBy>
  <dcterms:modified xsi:type="dcterms:W3CDTF">2024-06-20T03:13:19Z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82492F22D7BA44F0A880122B94037F24_11</vt:lpwstr>
  </property>
</Properties>
</file>