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7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85.44%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4031.93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1197.62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2098.09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44.3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79.2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39.93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78.9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4.37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加强支出预算管理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坚决落实过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紧日子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要求，压缩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经费；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精简各类会议和培训。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填报日期：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71"/>
        <w:gridCol w:w="1333"/>
        <w:gridCol w:w="1311"/>
        <w:gridCol w:w="1187"/>
        <w:gridCol w:w="798"/>
        <w:gridCol w:w="817"/>
        <w:gridCol w:w="15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君山区柳林洲街道办事处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2654.74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3897.46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3897.46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3814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1799.37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83.46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动员街道上下撸起袖子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，解放思想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，聚力攻坚，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全力擘画柳林洲街道高质量发展新蓝图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在区委、区政府的正确领导下，紧紧围绕区委提出的“五大行动”，攻坚克难、担当实干，较好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完成了各项工作任务。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1、招商项目个数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3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2、扶贫政策帮扶人数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37580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1、整改工作完成情况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2、招商项目完成情况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3、机关干部日常工作完成情况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1、所有收入均衡入库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2、民生实事和项目工程按时完工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1、项目严格按项目管理程序执行，节约成本。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持续优化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2、厉行节约，“三公”经费实行限额管理。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3、办公用品等采购不超过市场均价10%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4.3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采购人员未按照限价进行采购。后期将对采购人员进行业务培训。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特色产业稳定发展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稳步发展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2、发展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乡村旅游产业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稳步发展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3、村级集体经济不断壮大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1、全街道社会大局稳定有序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稳定向好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安全生产责任制的落实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有待进一步提升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4.7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辖区戴帽率为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80%左右，有待提升。后期将加大劝导员执勤力度。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1、秸秆燃烧工作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定性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加强监督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部分村民环保意识薄弱，夜间偷偷燃烧秸秆工作偶有发生。后期将加大夜间巡逻力度。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2、禁捕退捕工作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持续优化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3、禁拆治违工作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持续优化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1、村、镇干部满意度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7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98.55%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98.6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95"/>
        <w:gridCol w:w="1309"/>
        <w:gridCol w:w="1134"/>
        <w:gridCol w:w="1353"/>
        <w:gridCol w:w="609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君山区财政局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君山区柳林洲街道办事处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1197.62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  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 w:firstLine="400" w:firstLineChars="200"/>
              <w:jc w:val="both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全面贯彻落实党的二十大和中央、省市区委会议精神，紧扣区委“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”工作思路，推动街道经济社会又好又快发展。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大力实施了项目会战提速工程、产业振兴提质工程、城乡建管提升工程、民生福祉提标工程、生态环保提优工程、改革创新提效工程，持之以恒抓好党建、招商引资、信访维稳、爱卫巩卫、安全生产等工作，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1、村集体经济不断壮大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500万元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街道辖区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20村（社区）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村级集体经营性收入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全部超过10万元，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608.91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万元。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2、粮食播种亩数、特色果蔬种植面积、建成国家示范农民合作社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5万亩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完成粮食播种面积4.1万亩、特色果蔬种植面积1.8万亩，成功创建国家级示范农民合作社，超额完成全年种养计划。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1、提升社会治理能力和水平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100%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粮食播种工作完成情况、特色果蔬种植工作完成进度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12月底前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12月上旬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2098.09万元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2098.09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推动农业规模化、集约化、产业化发展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产业发展带动就业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稳步提高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助力人居环境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显著改善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995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社会公众或服务对象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98.5%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柳林洲街道办事处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君山区柳林洲街道办事处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柳林洲街道办事处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绩效自评报告</w:t>
      </w:r>
    </w:p>
    <w:p>
      <w:pPr>
        <w:pStyle w:val="6"/>
        <w:rPr>
          <w:rFonts w:hint="default"/>
        </w:rPr>
      </w:pPr>
    </w:p>
    <w:p>
      <w:pPr>
        <w:pStyle w:val="6"/>
        <w:rPr>
          <w:rFonts w:hint="default"/>
        </w:rPr>
      </w:pPr>
    </w:p>
    <w:p>
      <w:pPr>
        <w:pStyle w:val="6"/>
        <w:rPr>
          <w:rFonts w:hint="default"/>
        </w:rPr>
      </w:pPr>
    </w:p>
    <w:p>
      <w:pPr>
        <w:pStyle w:val="6"/>
        <w:rPr>
          <w:rFonts w:hint="default"/>
        </w:rPr>
      </w:pPr>
    </w:p>
    <w:p>
      <w:pPr>
        <w:pStyle w:val="6"/>
        <w:rPr>
          <w:rFonts w:hint="default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柳林洲街道办事处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pStyle w:val="6"/>
        <w:rPr>
          <w:rFonts w:hint="default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（一）职责职能概述：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街道党工委、办事处主要承担宣传贯彻执行党和国家的路线、方针、政策、法律、法规和上级党委、政府的决定、命令、指示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促进经济发展、增加农民收入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强化公共服务、着力改善民生，加强社会管理、维护农村稳定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推进基层民主、促进农村和谐的重大任务。街道党工委为区委的派出机关，领导本地区经济、政治、文化、社会、生态文明建设等各项工作和基层社会治理；办事处是区政府的派出机关,依法行使政府管理和服务职能。主要职责是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加强党的建设。加强党的全面领导，落实基层党建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工作责任制，全面推进党的政治建设、思想建设、组织建设、作风建设、纪律建设。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经济建设。编制经济发展规划;优化经济发展环境，提供示范引导和政策服务;加强农垦资产管理，激活农垦经济活力，释放农垦生产力。加强农村经济与土地管理和农村经济审计、统计工作;指导经济结构调整和推进经济增长方式转变;因地制宜组织发展区域特色经济，促进农民增收;大力发展非公有制经济，推进农村市场经济体系建设，着力提升经济发展的质量和水平，不断提高人民生活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社会管理。编制社会发展规划；负责区域内的教育体育、科技、文化、卫生健康、民政、公安、司法、人武、自然资源等管理工作；负责做好安全生产、应急救援、生态保护、市场监管、粮食安全、社会救助、扶贫助残、殡葬管理、流动人员管理等工作；推进乡村振兴战略，着力优化农村人居环境;及时上报和处置重大社情、疫情、险情，保护人民群众的生命和财产安全;加强农村规划建设和财政管理工作；建立防灾减灾等区域性、突发性事件的预防和处置工作机制；负责区域内的社区和经济组织的管理，发挥社团、行业组织和社会中介组织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提供公共服务。建立健全社会化服务体系；全面推行审批服务“马上办、网上办、就近办、一次办”，不断优化办事创业和营商环境；加强农田水利、乡村道路等农村基础设施建设；大力发展教育、科技、文化、卫生、体育等社会事业；组织引导农村劳动力转移和就业，提供政策、科技、信息、就业培训等服务；加强社会保障服务，做好扶贫、库区移民、最低生活保障、城乡居民养老保险、城乡居民基本医疗保险等工作；依法依规承担上级部门下放的经济社会管理权限和行政执法事项，承接政务服务事项，提供便捷优质服务，确保对承接事项直接受理、独立办理、全权行使、落实到位、服务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维护社会稳定。加强社会治安综合治理，构建公共安全防控体系；依法保护各类经济组织和公民的合法权益；综合协调平安建设工作，构建民间矛盾纠纷调处体系，做好基层信访调解工作，化解社会矛盾，维护社会秩序；抓好法制宣传和普法教育，增强公民法制意识；加强对违法青少年的帮教转化工作;保护老年人、妇女、儿童和残疾人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监督执法管理。对辖区内各类行政执法工作进行统筹协调，组织开展群众监督和社会监督。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基层组织管理。加强基层领导班子、干部队伍和党员队伍建设；加强和改进对基层党组织的领导，指导和帮助村民委员会、社区居民委员会依法自治，促进村民(社区居民)委员会的组织建设和制度建设；充分发挥工会、共青团、妇联、文联等群众团体的桥梁纽带作用；团结动员各类单位、社会组织、广大群众参与社会治理，为村（居）、镇发展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承办区委、区政府及其工作部门交办的其他事项。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Style w:val="6"/>
        <w:rPr>
          <w:rFonts w:hint="eastAsia"/>
        </w:rPr>
      </w:pPr>
    </w:p>
    <w:p>
      <w:pPr>
        <w:pStyle w:val="6"/>
        <w:numPr>
          <w:ilvl w:val="0"/>
          <w:numId w:val="3"/>
        </w:numP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根据编委核定，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内设机构 5个，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直属事业机构 6个。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内设机构分别是：党政办公室、党建办公室、经济发展办公室、社会事务办公室、社会治安和应急管理办公室。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直属事业机构分别是：政务服务中心、农业综合服务中心、社会事业综合服务中心、退役军人服务站、环境卫生服务中心、综合行政执法大队。</w:t>
      </w:r>
    </w:p>
    <w:p>
      <w:pPr>
        <w:pStyle w:val="6"/>
        <w:rPr>
          <w:rFonts w:hint="eastAsia"/>
        </w:rPr>
      </w:pPr>
    </w:p>
    <w:p>
      <w:pPr>
        <w:pStyle w:val="6"/>
        <w:numPr>
          <w:ilvl w:val="0"/>
          <w:numId w:val="3"/>
        </w:numP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人员概况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根据编委核定，我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共有编制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人。其中：行政编制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人；事业编制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人；工勤编制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人，实有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人。退休人员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</w:t>
      </w:r>
    </w:p>
    <w:p>
      <w:pPr>
        <w:pStyle w:val="6"/>
        <w:numPr>
          <w:ilvl w:val="0"/>
          <w:numId w:val="3"/>
        </w:numP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单位整体支出规模、使用方向和主要内容、涉及范围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年，全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共计收入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3897.46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万元，其中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一般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公共财政预算拨款收入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3814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万元，政府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性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基金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预算财政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拨款收入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83.46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万元。全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共计支出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3897.46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万元，其中一般公共服务支出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2359.99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公共安全支出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20万元，文化旅游体育与传媒支出30万元，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社会保障和就业支出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412.43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万元，卫生健康支出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227.68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万元，节能环保支出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157.87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万元，城乡社区支出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384.95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万元，农林水支出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233.83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住房保障支出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62.71万元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灾害防止及应急管理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基本支出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1799.37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万元，其中人员经费支出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1631.56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万元，公用经费支出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167.81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1、人员经费支出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1631.56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（1）工资福利支出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1330.96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万元，其中基本工资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364.10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万元，津贴补贴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110.25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万元，奖金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566.9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万元，伙食补助费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万元，绩效工资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78.35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养老保险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缴费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97.85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，职业年金缴费0.48万元，医保缴费44.41万元，医疗补助缴费0万元，其他社保缴费5.91万元，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住房公积金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62.71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 xml:space="preserve">其他工资福利支出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（2）对个人和家庭的补助支出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300.6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，其中退休费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56.18万元，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抚恤金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16.46万元，奖励金227.96万元。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2、公用经费支出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167.81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万元，其中办公经费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印刷费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23万元，水费2万元，电费10万元，邮电费0.2万元，差旅费2万元，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维修（护）费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租赁费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2万元，培训费5.04万元，工会经费10.2万元，福利费7.89万元，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其他交通费用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24.98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万元，其他商品和服务支出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spacing w:line="560" w:lineRule="exact"/>
        <w:ind w:firstLine="56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1、专项资金投入情况分析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本年专项资金共计支出2098.09万元，比上年减少了1933.84万元。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2、专项资金实际使用情况分析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项目资金严格按照市财政局的要求实际国库集中支付管理，全程由财政局监控支付。这样一方面确保了资金的安全，另一方面可更好地促进项目的按质量要求落实。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3、专项资金管理情况分析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为进一步规范我街道建设工程项目管理，规范项目资金使用行为，确保工程建设质量和投资成效，街道制定了《柳林洲街道办事处建设工程项目管理办法》，严格按管理办法规定的项目实施流程、项目资金支付程序对每一个项目进行管理。评价小组对项目资金管理情况进行了现场评价，评价表明：资金审批依法依规依程序，资金支付依据合法合规，真正做到了专款专用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2023年政府性基金预算支出83.47万元。均为农村基础设施建设支出中的租赁费。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2023年本单位没有使用国有资本经营预算安排的支出。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2023年本单位没有使用社会保险基金预算安排的支出。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6"/>
        <w:ind w:firstLine="640" w:firstLineChars="200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一年来，柳林洲街道在区委、区政府的坚强领导下，全面贯彻落实习近平总书记系列重要讲话精神，紧紧围绕“守护好一江碧水、建设好精致君山”奋斗目标，团结带领全体干部及辖区村（居）民战汛情、保稳定、抓发展，确保了各项事业平稳推进、社会大局和谐稳定。</w:t>
      </w: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经济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质量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稳健提升。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现代农业提质增效。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完成粮食播种面积4.1万亩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；加强耕地保护，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整治销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号“非农化”问题3个，“非粮化”问题9个，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整改完成327.2亩违法占用基本农田问题；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新建高标准农田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2580亩；创建国家级示范社1家、市级示范农民合作社1家、市级示范家庭农场1家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结构趋向多元、合理。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持续推进“一村一品”，实行区域化布局，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稻虾综合种养面积1.8万亩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bCs/>
          <w:sz w:val="32"/>
          <w:szCs w:val="32"/>
        </w:rPr>
        <w:t>精细化蔬菜种植面积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1.2万</w:t>
      </w:r>
      <w:r>
        <w:rPr>
          <w:rFonts w:hint="eastAsia" w:ascii="仿宋_GB2312" w:eastAsia="仿宋_GB2312"/>
          <w:bCs/>
          <w:sz w:val="32"/>
          <w:szCs w:val="32"/>
        </w:rPr>
        <w:t>亩，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其中设施大棚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3000多亩，新建濠河、芦花洲、二洲子钢架连体大棚</w:t>
      </w:r>
      <w:r>
        <w:rPr>
          <w:rFonts w:hint="default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万余平米；</w:t>
      </w:r>
      <w:r>
        <w:rPr>
          <w:rFonts w:hint="eastAsia" w:ascii="仿宋_GB2312" w:eastAsia="仿宋_GB2312"/>
          <w:bCs/>
          <w:sz w:val="32"/>
          <w:szCs w:val="32"/>
        </w:rPr>
        <w:t>葡萄、草莓、西瓜、甜瓜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、黄桃</w:t>
      </w:r>
      <w:r>
        <w:rPr>
          <w:rFonts w:hint="eastAsia" w:ascii="仿宋_GB2312" w:eastAsia="仿宋_GB2312"/>
          <w:bCs/>
          <w:sz w:val="32"/>
          <w:szCs w:val="32"/>
        </w:rPr>
        <w:t>等特色瓜果种植面积6000多亩，才鱼、鲈鱼等水产精细化养殖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面积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500亩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文旅节会精彩纷呈。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全力配合做好“马拉松赛事”“君山农业丰收季”等“4˙25”系列主题赛事活动；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顺利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举办草莓节、水果采摘节、濠河村晚、高效大棚话科普等活动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，逐步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提升柳林洲知名度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农民收入和集体经济持续发展壮大。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z w:val="32"/>
          <w:szCs w:val="32"/>
        </w:rPr>
        <w:t>政总收入4542.32万元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，城镇和农村居民人均可支配收入为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54813元和33623元，分别增长了5%、6.5%。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街道辖区20村（社区）村级集体经营性收入全部超过10万元，达到608.91万元。其中20-30（含）万元4个，30-50（含）万元4个，50-70（含）万元2个，70-80（含）万元2个。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招商引资成效明显。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完成招商项目3个，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分别是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投资2000万已开工的盛禾农业水稻种植项目、一期投资300万已初步投产的汇富天鑫水产苗种培育基地项目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及洞庭高科种业公司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建设强力推进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高质量服务区级项目建设，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面完成了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区人民医院改扩建、万宇二期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区委停车坪、柳林派出所、工业园南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片区</w:t>
      </w:r>
      <w:r>
        <w:rPr>
          <w:rFonts w:hint="eastAsia" w:ascii="仿宋_GB2312" w:hAnsi="仿宋_GB2312" w:eastAsia="仿宋_GB2312" w:cs="仿宋_GB2312"/>
          <w:sz w:val="32"/>
          <w:szCs w:val="32"/>
        </w:rPr>
        <w:t>、濠河垂钓中心道路等项目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征地拆迁工作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；全力配合完成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景明碳中和示范小区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移民整村推进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老旧小区改造、高标准农田建设、自来水管网改造及北部补水项目建设的协调服务。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（四）乡村振兴稳步实施。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严格落实各类帮扶政策，加强监测帮扶，共排查8976户37580人，新纳入监测户6户22人，确保应纳尽纳。发放春季雨露计划补助33人 4.95万元，落实兜底保障政策46 户61人，发放“四跟四走”产业扶贫资金41万元，累计解决公益性岗位及人社岗位142人。今年以点带面，以人居环境整治为突破口，重点建设濠河村乡村振兴示范点。新建高效农业种植连体钢架大棚面积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平方米；完成草莓基地道路白改黑及门头建设；完成五一路提质改造，在道路两旁建设小果园、小花园、小菜园面积7000平方米，栽种果树620株，建设小花园20个；扎实推进濠河安置点提质改造，完成道路白改黑1.1万平方米、绿化美化1910平方米，篮球场地面改造526平方米；充分挖掘旅游路沿线农家乐、渔家乐潜力，全村安装路灯108盏，打造农旅整合示范走廊。濠河村成功获评岳阳市“党建引领乡村振兴示范基地”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（五）民生福祉持续改善。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共发放各项惠农补贴66项3571.13万元；发放各类社会救助资金737.91万元；完成四原恢复审批94户、民生建房审批53户；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建设燃气管网75.5公里，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了新洲村、濠河村、挂口村、洞庭春色、阳光逸城等天然气管网建设，通气户数达到1.22万户；完成自来水管网建设15.79万米，解决12个村（社区）1.6万户、4.2万人口的用水难问题；新建农村户用卫生厕所506个；完成老旧小区改造4个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新建和提质改造道路约24.2公里、沟渠11.7公里；建成“百岁之家”居家养老服务点8个；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启动新洲村活禽屠宰菜市场并完成了松湖菜市场的整体搬迁运营，累计解决民生实事100余件，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切实保障群众生产生活。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（六）社会事业协调发展。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新增就业971人，推荐岗位1964次，职业指导518次；全年办结便民事项工单量39106件，接“12345”民生实事案件719件，均如期答复；全面完成城乡居民医疗保险参保缴费工作，参保人数达到56334人，参保率为97.2%；充分发挥人民武装部与退役军人服务合署办公的先行优势，打造“一部一站”紧密协作示范单位，去年共向部队输送优秀青年11名，圆满完成征兵工作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人大代表建议、政协委员提案办理等工作均按要求全面完成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服务区委改革大局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，全面接管原水产养殖场下属7个渔场社会事务。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（七）社会大局安定有序。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共接待群众来访357批次586人次，其中群访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25批次175人次，全年未出现一例赴京“非访”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成功调处各类社会矛盾纠纷93件，调解率达到100%；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常态化开展扫黑除恶，开展联合大摸排4次，无涉黑涉恶线索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，辖区社会大局稳定、秩序良好。狠抓安全生产责任制的落实，开展安全检查50次，共排查整治安全隐患37处,扎实开展“戴帽工程”专项行动，辖区的头盔佩戴率达到了80%以上，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全年未发生一起安全生产责任事故。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创造性推行“濠河夜谈”“新事新议”“和风细雨话景明”等基层治理模式,及时解决群众期盼，充分调动人民群众参与治理的热情，不断推动社会领域矛盾纠纷有效化解。</w:t>
      </w:r>
    </w:p>
    <w:p>
      <w:pPr>
        <w:ind w:firstLine="642" w:firstLineChars="200"/>
        <w:rPr>
          <w:rFonts w:hint="default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（八）生态环境持续优化。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4.25”系列活动、爱卫巩卫、文明创建、人居环境整治工作，全方位开展“五乱”治理，对城乡结合部位、城区旱厕、无物业小区管理等薄弱环节和省市模拟检查所发现和指出的问题，进行长达8个月的整改整治，共整治乱堆乱放2100余次，平整清理辖区建筑垃圾3400多吨，整治清理沟渠37公里；加大秸秆禁烧、禁捕退捕、禁拆治违、牛羊反弹、冰冻鲜饵料退出等重点难点工作的常态化巡查与问题整改；全面落实河长制、田长制及林长制工作，共巡河102次、巡田3200余次，整改问题105个；按时按质完成了“2023年长江经济带生态环境警示片”涉及欧美黑杨种植问题，共铲除长江外滩种植欧美黑杨657亩；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全面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禁止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冰鲜饵料投喂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，关闭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取缔了16户45座冰冻鲜冷库；拆除违法建设510处面积 34641.5㎡；高质量打造了贵宾通道、学习路、濠河村、光明小区、卫星路、黄安路等一批绿化示范点。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在政府采购方面，其一，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做好标准商品挂接工作。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对于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新发布商品，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没能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遵循最匹配原则，引用标准商品发布；对已发布的存量商品，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认真排查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及时挂接标准商品；标准商品信息不全、描述存在偏差；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导致一些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“自有商品”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的出现。其二，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采购人下单购买“自有商品”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触发异常提示，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但未能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及时提醒供应商挂接正确的标准商品消除“自有商品”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标签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导致一些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“异常”订单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的出现。问题出现的原因是未对单位负责政府采购的人员进行专门的培训，业务处理方面有待加强。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对单位负责政府采购的人员组织培训，提升其业务能力。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pStyle w:val="2"/>
        <w:numPr>
          <w:ilvl w:val="0"/>
          <w:numId w:val="0"/>
        </w:numPr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 xml:space="preserve">    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bookmarkStart w:id="0" w:name="_GoBack"/>
      <w:bookmarkEnd w:id="0"/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7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E5BB"/>
    <w:multiLevelType w:val="singleLevel"/>
    <w:tmpl w:val="BBDBE5B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EEED2E"/>
    <w:multiLevelType w:val="singleLevel"/>
    <w:tmpl w:val="F4EEED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FE0581"/>
    <w:multiLevelType w:val="singleLevel"/>
    <w:tmpl w:val="F6FE05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FA5031"/>
    <w:multiLevelType w:val="singleLevel"/>
    <w:tmpl w:val="FFFA50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BBD97A7"/>
    <w:multiLevelType w:val="singleLevel"/>
    <w:tmpl w:val="7BBD97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0EFF9A96"/>
    <w:rsid w:val="12EEAEED"/>
    <w:rsid w:val="17DB9AB1"/>
    <w:rsid w:val="17DFB02E"/>
    <w:rsid w:val="1BF8EDCA"/>
    <w:rsid w:val="1D633C3B"/>
    <w:rsid w:val="1F6FB4E5"/>
    <w:rsid w:val="2902387A"/>
    <w:rsid w:val="2FA1B568"/>
    <w:rsid w:val="39E8E0FE"/>
    <w:rsid w:val="3ACA4A6C"/>
    <w:rsid w:val="3BBB1DF9"/>
    <w:rsid w:val="3BED24F3"/>
    <w:rsid w:val="3CDC696F"/>
    <w:rsid w:val="3D7F243A"/>
    <w:rsid w:val="3DEB42C3"/>
    <w:rsid w:val="3E3FE354"/>
    <w:rsid w:val="3F2AA37C"/>
    <w:rsid w:val="3F89DE05"/>
    <w:rsid w:val="3FE190C0"/>
    <w:rsid w:val="3FFFF1E9"/>
    <w:rsid w:val="41EFF6C2"/>
    <w:rsid w:val="47FF2727"/>
    <w:rsid w:val="4FEB764D"/>
    <w:rsid w:val="4FFF5AEB"/>
    <w:rsid w:val="53D4C7E0"/>
    <w:rsid w:val="54AFC8D9"/>
    <w:rsid w:val="54F77D0D"/>
    <w:rsid w:val="59886344"/>
    <w:rsid w:val="5AA3DD1B"/>
    <w:rsid w:val="5ACBDAED"/>
    <w:rsid w:val="5BEF1F0B"/>
    <w:rsid w:val="5CF94CE9"/>
    <w:rsid w:val="5FD7A7DB"/>
    <w:rsid w:val="5FDB8C63"/>
    <w:rsid w:val="669F92FF"/>
    <w:rsid w:val="67B3A90F"/>
    <w:rsid w:val="67FF5EF9"/>
    <w:rsid w:val="6AFF73D7"/>
    <w:rsid w:val="6B5913BC"/>
    <w:rsid w:val="6B5E0B36"/>
    <w:rsid w:val="6F3F8AE2"/>
    <w:rsid w:val="6F9F418D"/>
    <w:rsid w:val="6FFF3587"/>
    <w:rsid w:val="73AFB602"/>
    <w:rsid w:val="74B60392"/>
    <w:rsid w:val="75BF7B14"/>
    <w:rsid w:val="773203FA"/>
    <w:rsid w:val="775FAE5A"/>
    <w:rsid w:val="777F0138"/>
    <w:rsid w:val="77DF50A9"/>
    <w:rsid w:val="78C8ABA7"/>
    <w:rsid w:val="7B3F06A1"/>
    <w:rsid w:val="7B5DB35C"/>
    <w:rsid w:val="7BADE74C"/>
    <w:rsid w:val="7BD76C90"/>
    <w:rsid w:val="7BD8B120"/>
    <w:rsid w:val="7C7D0F93"/>
    <w:rsid w:val="7DFFBE6C"/>
    <w:rsid w:val="7E3A5B20"/>
    <w:rsid w:val="7E7D2A51"/>
    <w:rsid w:val="7E9FCDC3"/>
    <w:rsid w:val="7EBF743C"/>
    <w:rsid w:val="7EDED947"/>
    <w:rsid w:val="7F6FD74F"/>
    <w:rsid w:val="7F7FF20F"/>
    <w:rsid w:val="7F9B50A9"/>
    <w:rsid w:val="7FAE8FD9"/>
    <w:rsid w:val="7FBF2803"/>
    <w:rsid w:val="7FFB39D4"/>
    <w:rsid w:val="8F7E6F10"/>
    <w:rsid w:val="9B7D5852"/>
    <w:rsid w:val="9E79D280"/>
    <w:rsid w:val="9EB869B5"/>
    <w:rsid w:val="9EBE03E9"/>
    <w:rsid w:val="9EEA7E09"/>
    <w:rsid w:val="9F6F31C0"/>
    <w:rsid w:val="9F9BF5D7"/>
    <w:rsid w:val="A7FFECA7"/>
    <w:rsid w:val="AF5E7EB7"/>
    <w:rsid w:val="AFEDD6BA"/>
    <w:rsid w:val="B1D78267"/>
    <w:rsid w:val="B6FBC873"/>
    <w:rsid w:val="B7DF4DF6"/>
    <w:rsid w:val="BCDD7C27"/>
    <w:rsid w:val="BD1FC93E"/>
    <w:rsid w:val="BDD72C90"/>
    <w:rsid w:val="BEFA505E"/>
    <w:rsid w:val="BFBEDE56"/>
    <w:rsid w:val="BFC496CA"/>
    <w:rsid w:val="BFF7CD6A"/>
    <w:rsid w:val="CEDF3182"/>
    <w:rsid w:val="CF9CEBBC"/>
    <w:rsid w:val="D5F921F9"/>
    <w:rsid w:val="D7E4E87B"/>
    <w:rsid w:val="DA6D0BD0"/>
    <w:rsid w:val="DC5113A5"/>
    <w:rsid w:val="DD6E2CF3"/>
    <w:rsid w:val="DE3F2C8F"/>
    <w:rsid w:val="DE7D2B18"/>
    <w:rsid w:val="DEB942F0"/>
    <w:rsid w:val="DFDEABC5"/>
    <w:rsid w:val="DFEF884A"/>
    <w:rsid w:val="E2FBF562"/>
    <w:rsid w:val="E37F15FC"/>
    <w:rsid w:val="EC8DE33F"/>
    <w:rsid w:val="EDDC6D76"/>
    <w:rsid w:val="EE0F0791"/>
    <w:rsid w:val="EEBEA5C0"/>
    <w:rsid w:val="EFDE4593"/>
    <w:rsid w:val="EFEEAD09"/>
    <w:rsid w:val="F169F836"/>
    <w:rsid w:val="F26B024F"/>
    <w:rsid w:val="F562D191"/>
    <w:rsid w:val="F753714D"/>
    <w:rsid w:val="F7CDEE91"/>
    <w:rsid w:val="F7DEC57B"/>
    <w:rsid w:val="F7ED27B0"/>
    <w:rsid w:val="F7FAB6E5"/>
    <w:rsid w:val="F7FE344A"/>
    <w:rsid w:val="F8FBFB49"/>
    <w:rsid w:val="F9EBA4CF"/>
    <w:rsid w:val="FB8FABFD"/>
    <w:rsid w:val="FBBFFD51"/>
    <w:rsid w:val="FBDFF70B"/>
    <w:rsid w:val="FD993A8D"/>
    <w:rsid w:val="FE7B8643"/>
    <w:rsid w:val="FEB52D3E"/>
    <w:rsid w:val="FEF7F66F"/>
    <w:rsid w:val="FF63D911"/>
    <w:rsid w:val="FF7EEAB3"/>
    <w:rsid w:val="FF9FA14A"/>
    <w:rsid w:val="FFD757D6"/>
    <w:rsid w:val="FFFEF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  <w:szCs w:val="20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2024-03-20T08:36:00Z</dcterms:created>
  <dc:creator>Administrator</dc:creator>
  <cp:lastModifiedBy>admin</cp:lastModifiedBy>
  <dcterms:modified xsi:type="dcterms:W3CDTF">2024-06-28T11:41:25Z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7F45FA6C2AC55EF009177E667F762AFD_43</vt:lpwstr>
  </property>
</Properties>
</file>