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bookmarkStart w:id="0" w:name="_GoBack"/>
      <w:bookmarkEnd w:id="0"/>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202</w:t>
      </w:r>
      <w:r>
        <w:rPr>
          <w:rFonts w:hint="eastAsia" w:ascii="方正小标宋简体" w:hAnsi="方正小标宋简体" w:eastAsia="方正小标宋简体" w:cs="方正小标宋简体"/>
          <w:sz w:val="52"/>
          <w:szCs w:val="52"/>
          <w:highlight w:val="none"/>
          <w:lang w:val="en-US" w:eastAsia="zh-CN"/>
        </w:rPr>
        <w:t>3</w:t>
      </w:r>
      <w:r>
        <w:rPr>
          <w:rFonts w:hint="eastAsia" w:ascii="方正小标宋简体" w:hAnsi="方正小标宋简体" w:eastAsia="方正小标宋简体" w:cs="方正小标宋简体"/>
          <w:sz w:val="52"/>
          <w:szCs w:val="52"/>
          <w:highlight w:val="none"/>
        </w:rPr>
        <w:t>年度</w:t>
      </w:r>
      <w:r>
        <w:rPr>
          <w:rFonts w:hint="eastAsia" w:ascii="方正小标宋简体" w:hAnsi="方正小标宋简体" w:eastAsia="方正小标宋简体" w:cs="方正小标宋简体"/>
          <w:sz w:val="52"/>
          <w:szCs w:val="52"/>
          <w:highlight w:val="none"/>
          <w:lang w:val="en-US" w:eastAsia="zh-CN"/>
        </w:rPr>
        <w:t>君山区钱粮湖镇人民政府</w:t>
      </w:r>
      <w:r>
        <w:rPr>
          <w:rFonts w:hint="eastAsia" w:ascii="方正小标宋简体" w:hAnsi="方正小标宋简体" w:eastAsia="方正小标宋简体" w:cs="方正小标宋简体"/>
          <w:sz w:val="52"/>
          <w:szCs w:val="52"/>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 xml:space="preserve"> 日</w:t>
      </w:r>
    </w:p>
    <w:p>
      <w:pPr>
        <w:jc w:val="center"/>
        <w:rPr>
          <w:rFonts w:hint="eastAsia" w:ascii="方正小标宋简体" w:hAnsi="方正小标宋简体" w:eastAsia="方正小标宋简体" w:cs="方正小标宋简体"/>
          <w:sz w:val="52"/>
          <w:szCs w:val="52"/>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52"/>
          <w:szCs w:val="52"/>
          <w:highlight w:val="none"/>
        </w:rPr>
        <w:t>202</w:t>
      </w:r>
      <w:r>
        <w:rPr>
          <w:rFonts w:hint="eastAsia" w:ascii="方正小标宋简体" w:hAnsi="方正小标宋简体" w:eastAsia="方正小标宋简体" w:cs="方正小标宋简体"/>
          <w:sz w:val="52"/>
          <w:szCs w:val="52"/>
          <w:highlight w:val="none"/>
          <w:lang w:val="en-US" w:eastAsia="zh-CN"/>
        </w:rPr>
        <w:t>3</w:t>
      </w:r>
      <w:r>
        <w:rPr>
          <w:rFonts w:hint="eastAsia" w:ascii="方正小标宋简体" w:hAnsi="方正小标宋简体" w:eastAsia="方正小标宋简体" w:cs="方正小标宋简体"/>
          <w:sz w:val="52"/>
          <w:szCs w:val="52"/>
          <w:highlight w:val="none"/>
        </w:rPr>
        <w:t>年度</w:t>
      </w:r>
      <w:r>
        <w:rPr>
          <w:rFonts w:hint="eastAsia" w:ascii="方正小标宋简体" w:hAnsi="方正小标宋简体" w:eastAsia="方正小标宋简体" w:cs="方正小标宋简体"/>
          <w:sz w:val="52"/>
          <w:szCs w:val="52"/>
          <w:highlight w:val="none"/>
          <w:lang w:val="en-US" w:eastAsia="zh-CN"/>
        </w:rPr>
        <w:t>君山区钱粮湖镇人民政府</w:t>
      </w:r>
      <w:r>
        <w:rPr>
          <w:rFonts w:hint="eastAsia" w:ascii="方正小标宋简体" w:hAnsi="方正小标宋简体" w:eastAsia="方正小标宋简体" w:cs="方正小标宋简体"/>
          <w:sz w:val="52"/>
          <w:szCs w:val="52"/>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华文仿宋" w:hAnsi="华文仿宋" w:eastAsia="华文仿宋" w:cs="华文仿宋"/>
          <w:color w:val="333333"/>
          <w:sz w:val="32"/>
          <w:szCs w:val="32"/>
          <w:shd w:val="clear" w:color="auto" w:fill="FFFFFF"/>
        </w:rPr>
        <w:t>为全面贯彻落实《中共中央 国务院关于全面实施预算绩效管理的意见 》（中发〔2018〕34号）和《中共湖南省委办公厅 湖南省人民政府办公厅关于全面实施预算绩效管理的实施意见》（湘办发〔2019〕10号）精神，为进一步规范财政资金管理，强化绩效和责任意识，切实提高财政资金使用效益，</w:t>
      </w:r>
      <w:r>
        <w:rPr>
          <w:rFonts w:hint="eastAsia" w:ascii="华文仿宋" w:hAnsi="华文仿宋" w:eastAsia="华文仿宋" w:cs="华文仿宋"/>
          <w:sz w:val="32"/>
          <w:szCs w:val="32"/>
        </w:rPr>
        <w:t>根据《关于开展2023年度财政支出绩效自评工作的通知》（岳君财〔2024〕25号）文件精神，</w:t>
      </w:r>
      <w:r>
        <w:rPr>
          <w:rFonts w:hint="eastAsia" w:ascii="华文仿宋" w:hAnsi="华文仿宋" w:eastAsia="华文仿宋" w:cs="华文仿宋"/>
          <w:color w:val="333333"/>
          <w:sz w:val="32"/>
          <w:szCs w:val="32"/>
          <w:shd w:val="clear" w:color="auto" w:fill="FFFFFF"/>
        </w:rPr>
        <w:t>结合实际，我单位组织成立了绩效评价工作小组，评价小组采取座谈等方式听取情况，检查基本支出、项目支出有关账目，收集整理支出相关资料，并根据各部门（处室）报送的绩效自评材料进行分析、总结，现将我单位整体支出绩效自评结果报告如下：</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default" w:ascii="Times New Roman" w:hAnsi="Times New Roman" w:eastAsia="黑体" w:cs="Times New Roman"/>
          <w:sz w:val="32"/>
          <w:szCs w:val="32"/>
          <w:highlight w:val="none"/>
        </w:rPr>
        <w:t>部门基本情况</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2"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（一）单位基本情况</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钱粮湖镇位于岳阳市君山区西部，东濒东洞庭湖国际重要湿地核心区，北枕天井山山脉，南与良心堡镇接壤，西与华容县相接。全镇集雨面积187平方公里，总人口7.8万，下辖14个行政村、7个居委会、2个渔场，是全国重点镇、湖南省新农村建设唯一试点镇、岳阳市首批农业产业化特色小镇（龙虾小镇）、君山区次中心，素有“江南第一农场”和“洞庭明珠”之美誉。</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1、职能职责</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eastAsia="zh-CN"/>
        </w:rPr>
        <w:t>钱粮湖</w:t>
      </w:r>
      <w:r>
        <w:rPr>
          <w:rFonts w:hint="eastAsia" w:ascii="华文仿宋" w:hAnsi="华文仿宋" w:eastAsia="华文仿宋" w:cs="华文仿宋"/>
          <w:bCs/>
          <w:sz w:val="32"/>
          <w:szCs w:val="32"/>
        </w:rPr>
        <w:t>镇党委、政府主要承担宣传贯彻执行党和国家的路线、方针、政策、法律、法规和上级党委、政府的决定、命令、指示，执行本级党代会和人民代表大会的决定、决议，促进经济发展、增加农民收入，强化公共服务、着力改善民生，加强社会管理、维护农村稳定，推进基层民主、促进农村和谐的重大任务。镇党委是党在农村的基层组织，是党在农村全部工作和战斗力的基础，是镇级各种组织和各项工作的领导核心；镇政府是国家基层政权组织，领导本行政区内政府工作。主要职责是：</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（1）加强党的建设。加强党的全面领导，落实基层党建工作责任制，全面推进党的政治建设、思想建设、组织建设、作风建设、纪律建设。</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加强经济建设。编制经济发展规划;优化经济发展环境，提供示范引导和政策服务;加强农垦资产管理，激活农垦经济活力，释放农垦生产力。加强农村经济与土地管理和农村经济审计、统计工作;指导经济结构调整和推进经济增长方式转变;因地制宜组织发展区域特色经济，促进农民增收;大力发展非公有制经济，推进农村市场经济体系建设，着力提升经济发展的质量和水平，不断提高人民生活水平。</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加强社会管理。编制社会发展规划；负责区域内的教育体育、科技、文化、卫生健康、民政、公安、司法、人武、自然资源等管理工作；负责做好安全生产、应急救援、生态保护、市场监管、粮食安全、社会救助、扶贫助残、殡葬管理、流动人员管理等工作；推进乡村振兴战略，着力优化农村人居环境;及时上报和处置重大社情、疫情、险情，保护人民群众的生命和财产安全;加强农村规划建设和财政管理工作；建立防灾减灾等区域性、突发性事件的预防和处置工作机制；负责区域内的社区和经济组织的管理，发挥社团、行业组织和社会中介组织的作用。</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4）提供公共服务。建立健全社会化服务体系；全面推行审批服务“马上办、网上办、就近办、一次办”，不断优化办事创业和营商环境；加强农田水利、乡村道路等农村基础设施建设；大力发展教育、科技、文化、卫生、体育等社会事业；组织引导农村劳动力转移和就业，提供政策、科技、信息、就业培训等服务；加强社会保障服务，做好扶贫、库区移民、最低生活保障、城乡居民养老保险、城乡居民基本医疗保险等工作；依法依规承担上级部门下放的经济社会管理权限和行政执法事项，承接政务服务事项，提供便捷优质服务，确保对承接事项直接受理、独立办理、全权行使、落实到位、服务到位。</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5）维护社会稳定。加强社会治安综合治理，构建公共安全防控体系；依法保护各类经济组织和公民的合法权益；综合协调平安建设工作，构建民间矛盾纠纷调处体系，做好基层信访调解工作，化解社会矛盾，维护社会秩序；抓好法制宣传和普法教育，增强公民法制意识；加强对违法青少年的帮教转化工作;保护老年人、妇女、儿童和残疾人的合法权益。</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（6）监督执法管理。对辖区内各类行政执法工作进行统筹协调，组织开展群众监督和社会监督。</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7）加强基层组织管理。加强基层领导班子、干部队伍和党员队伍建设；加强和改进对基层党组织的领导，指导和帮助村民委员会、社区居民委员会依法自治，促进村民(社区居民)委员会的组织建设和制度建设；充分发挥工会、共青团、妇联、文联等群众团体的桥梁纽带作用；团结动员各类单位、社会组织、广大群众参与社会治理，为村（居）、镇发展服务。</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（8）承办区委、区政府及其工作部门交办的其他事项。</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2、机构设置</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根据编委核定，我镇内设机构 5个，镇直属事业机构 6个。</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镇内设机构分别是：党政办公室、党建办公室、经济发展办公室、社会事务办公室、社会治安和应急管理办公室。</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镇直属事业机构分别是：政务服务中心、农业综合服务中心、社会事业综合服务中心、退役军人服务站、环境卫生服务中心、综合行政执法大队。</w:t>
      </w:r>
    </w:p>
    <w:p>
      <w:pPr>
        <w:spacing w:line="560" w:lineRule="exact"/>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3、人员概况</w:t>
      </w:r>
    </w:p>
    <w:p>
      <w:pPr>
        <w:spacing w:line="56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根据编委核定，我镇共有编制103名，实有在职人员</w:t>
      </w:r>
      <w:r>
        <w:rPr>
          <w:rFonts w:hint="eastAsia" w:ascii="华文仿宋" w:hAnsi="华文仿宋" w:eastAsia="华文仿宋" w:cs="华文仿宋"/>
          <w:bCs/>
          <w:sz w:val="32"/>
          <w:szCs w:val="32"/>
          <w:lang w:val="en-US" w:eastAsia="zh-CN"/>
        </w:rPr>
        <w:t>83</w:t>
      </w:r>
      <w:r>
        <w:rPr>
          <w:rFonts w:hint="eastAsia" w:ascii="华文仿宋" w:hAnsi="华文仿宋" w:eastAsia="华文仿宋" w:cs="华文仿宋"/>
          <w:bCs/>
          <w:sz w:val="32"/>
          <w:szCs w:val="32"/>
        </w:rPr>
        <w:t>人。其中：行政编制37名，实有</w:t>
      </w:r>
      <w:r>
        <w:rPr>
          <w:rFonts w:hint="eastAsia" w:ascii="华文仿宋" w:hAnsi="华文仿宋" w:eastAsia="华文仿宋" w:cs="华文仿宋"/>
          <w:bCs/>
          <w:sz w:val="32"/>
          <w:szCs w:val="32"/>
          <w:lang w:val="en-US" w:eastAsia="zh-CN"/>
        </w:rPr>
        <w:t>37</w:t>
      </w:r>
      <w:r>
        <w:rPr>
          <w:rFonts w:hint="eastAsia" w:ascii="华文仿宋" w:hAnsi="华文仿宋" w:eastAsia="华文仿宋" w:cs="华文仿宋"/>
          <w:bCs/>
          <w:sz w:val="32"/>
          <w:szCs w:val="32"/>
        </w:rPr>
        <w:t>人；事业编制64名，实有4</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人；工勤编制2人，实有2人。退休人员15</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人。</w:t>
      </w:r>
    </w:p>
    <w:p>
      <w:pPr>
        <w:numPr>
          <w:ilvl w:val="0"/>
          <w:numId w:val="2"/>
        </w:numPr>
        <w:spacing w:line="560" w:lineRule="exact"/>
        <w:ind w:firstLine="640" w:firstLineChars="200"/>
        <w:rPr>
          <w:rFonts w:hint="eastAsia" w:ascii="华文楷体" w:hAnsi="华文楷体" w:eastAsia="华文楷体" w:cs="华文楷体"/>
          <w:b/>
          <w:bCs w:val="0"/>
          <w:sz w:val="32"/>
          <w:szCs w:val="32"/>
        </w:rPr>
      </w:pPr>
      <w:r>
        <w:rPr>
          <w:rFonts w:hint="eastAsia" w:ascii="华文楷体" w:hAnsi="华文楷体" w:eastAsia="华文楷体" w:cs="华文楷体"/>
          <w:b/>
          <w:bCs w:val="0"/>
          <w:sz w:val="32"/>
          <w:szCs w:val="32"/>
        </w:rPr>
        <w:t>部门（单位）整体支出规模、使用方向和主要内容、涉及范围等</w:t>
      </w:r>
    </w:p>
    <w:p>
      <w:pPr>
        <w:spacing w:line="560"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bCs/>
          <w:sz w:val="32"/>
          <w:szCs w:val="32"/>
        </w:rPr>
        <w:t>202</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年，全镇共计收入</w:t>
      </w:r>
      <w:r>
        <w:rPr>
          <w:rFonts w:hint="eastAsia" w:ascii="华文仿宋" w:hAnsi="华文仿宋" w:eastAsia="华文仿宋" w:cs="华文仿宋"/>
          <w:bCs/>
          <w:sz w:val="32"/>
          <w:szCs w:val="32"/>
          <w:lang w:val="en-US" w:eastAsia="zh-CN"/>
        </w:rPr>
        <w:t>5677.41</w:t>
      </w:r>
      <w:r>
        <w:rPr>
          <w:rFonts w:hint="eastAsia" w:ascii="华文仿宋" w:hAnsi="华文仿宋" w:eastAsia="华文仿宋" w:cs="华文仿宋"/>
          <w:bCs/>
          <w:sz w:val="32"/>
          <w:szCs w:val="32"/>
        </w:rPr>
        <w:t>万元，其中</w:t>
      </w:r>
      <w:r>
        <w:rPr>
          <w:rFonts w:hint="eastAsia" w:ascii="华文仿宋" w:hAnsi="华文仿宋" w:eastAsia="华文仿宋" w:cs="华文仿宋"/>
          <w:bCs/>
          <w:sz w:val="32"/>
          <w:szCs w:val="32"/>
          <w:lang w:eastAsia="zh-CN"/>
        </w:rPr>
        <w:t>一般</w:t>
      </w:r>
      <w:r>
        <w:rPr>
          <w:rFonts w:hint="eastAsia" w:ascii="华文仿宋" w:hAnsi="华文仿宋" w:eastAsia="华文仿宋" w:cs="华文仿宋"/>
          <w:bCs/>
          <w:sz w:val="32"/>
          <w:szCs w:val="32"/>
        </w:rPr>
        <w:t>公共预算收入</w:t>
      </w:r>
      <w:r>
        <w:rPr>
          <w:rFonts w:hint="eastAsia" w:ascii="华文仿宋" w:hAnsi="华文仿宋" w:eastAsia="华文仿宋" w:cs="华文仿宋"/>
          <w:bCs/>
          <w:sz w:val="32"/>
          <w:szCs w:val="32"/>
          <w:lang w:val="en-US" w:eastAsia="zh-CN"/>
        </w:rPr>
        <w:t>4904.11</w:t>
      </w:r>
      <w:r>
        <w:rPr>
          <w:rFonts w:hint="eastAsia" w:ascii="华文仿宋" w:hAnsi="华文仿宋" w:eastAsia="华文仿宋" w:cs="华文仿宋"/>
          <w:bCs/>
          <w:sz w:val="32"/>
          <w:szCs w:val="32"/>
        </w:rPr>
        <w:t>万元，政府</w:t>
      </w:r>
      <w:r>
        <w:rPr>
          <w:rFonts w:hint="eastAsia" w:ascii="华文仿宋" w:hAnsi="华文仿宋" w:eastAsia="华文仿宋" w:cs="华文仿宋"/>
          <w:bCs/>
          <w:sz w:val="32"/>
          <w:szCs w:val="32"/>
          <w:lang w:eastAsia="zh-CN"/>
        </w:rPr>
        <w:t>性</w:t>
      </w:r>
      <w:r>
        <w:rPr>
          <w:rFonts w:hint="eastAsia" w:ascii="华文仿宋" w:hAnsi="华文仿宋" w:eastAsia="华文仿宋" w:cs="华文仿宋"/>
          <w:bCs/>
          <w:sz w:val="32"/>
          <w:szCs w:val="32"/>
        </w:rPr>
        <w:t>基金</w:t>
      </w:r>
      <w:r>
        <w:rPr>
          <w:rFonts w:hint="eastAsia" w:ascii="华文仿宋" w:hAnsi="华文仿宋" w:eastAsia="华文仿宋" w:cs="华文仿宋"/>
          <w:bCs/>
          <w:sz w:val="32"/>
          <w:szCs w:val="32"/>
          <w:lang w:eastAsia="zh-CN"/>
        </w:rPr>
        <w:t>预算</w:t>
      </w:r>
      <w:r>
        <w:rPr>
          <w:rFonts w:hint="eastAsia" w:ascii="华文仿宋" w:hAnsi="华文仿宋" w:eastAsia="华文仿宋" w:cs="华文仿宋"/>
          <w:bCs/>
          <w:sz w:val="32"/>
          <w:szCs w:val="32"/>
        </w:rPr>
        <w:t>收入</w:t>
      </w:r>
      <w:r>
        <w:rPr>
          <w:rFonts w:hint="eastAsia" w:ascii="华文仿宋" w:hAnsi="华文仿宋" w:eastAsia="华文仿宋" w:cs="华文仿宋"/>
          <w:bCs/>
          <w:sz w:val="32"/>
          <w:szCs w:val="32"/>
          <w:lang w:val="en-US" w:eastAsia="zh-CN"/>
        </w:rPr>
        <w:t>5.24</w:t>
      </w:r>
      <w:r>
        <w:rPr>
          <w:rFonts w:hint="eastAsia" w:ascii="华文仿宋" w:hAnsi="华文仿宋" w:eastAsia="华文仿宋" w:cs="华文仿宋"/>
          <w:bCs/>
          <w:sz w:val="32"/>
          <w:szCs w:val="32"/>
        </w:rPr>
        <w:t>万元</w:t>
      </w:r>
      <w:r>
        <w:rPr>
          <w:rFonts w:hint="eastAsia" w:ascii="华文仿宋" w:hAnsi="华文仿宋" w:eastAsia="华文仿宋" w:cs="华文仿宋"/>
          <w:bCs/>
          <w:sz w:val="32"/>
          <w:szCs w:val="32"/>
          <w:lang w:eastAsia="zh-CN"/>
        </w:rPr>
        <w:t>，其他收入</w:t>
      </w:r>
      <w:r>
        <w:rPr>
          <w:rFonts w:hint="eastAsia" w:ascii="华文仿宋" w:hAnsi="华文仿宋" w:eastAsia="华文仿宋" w:cs="华文仿宋"/>
          <w:bCs/>
          <w:sz w:val="32"/>
          <w:szCs w:val="32"/>
          <w:lang w:val="en-US" w:eastAsia="zh-CN"/>
        </w:rPr>
        <w:t>768.06万元</w:t>
      </w:r>
      <w:r>
        <w:rPr>
          <w:rFonts w:hint="eastAsia" w:ascii="华文仿宋" w:hAnsi="华文仿宋" w:eastAsia="华文仿宋" w:cs="华文仿宋"/>
          <w:bCs/>
          <w:sz w:val="32"/>
          <w:szCs w:val="32"/>
        </w:rPr>
        <w:t>。全镇共计支出</w:t>
      </w:r>
      <w:r>
        <w:rPr>
          <w:rFonts w:hint="eastAsia" w:ascii="华文仿宋" w:hAnsi="华文仿宋" w:eastAsia="华文仿宋" w:cs="华文仿宋"/>
          <w:bCs/>
          <w:sz w:val="32"/>
          <w:szCs w:val="32"/>
          <w:lang w:val="en-US" w:eastAsia="zh-CN"/>
        </w:rPr>
        <w:t>5677.41</w:t>
      </w:r>
      <w:r>
        <w:rPr>
          <w:rFonts w:hint="eastAsia" w:ascii="华文仿宋" w:hAnsi="华文仿宋" w:eastAsia="华文仿宋" w:cs="华文仿宋"/>
          <w:bCs/>
          <w:sz w:val="32"/>
          <w:szCs w:val="32"/>
        </w:rPr>
        <w:t>万元，其中一般公共服务支出</w:t>
      </w:r>
      <w:r>
        <w:rPr>
          <w:rFonts w:hint="eastAsia" w:ascii="华文仿宋" w:hAnsi="华文仿宋" w:eastAsia="华文仿宋" w:cs="华文仿宋"/>
          <w:bCs/>
          <w:sz w:val="32"/>
          <w:szCs w:val="32"/>
          <w:lang w:val="en-US" w:eastAsia="zh-CN"/>
        </w:rPr>
        <w:t>1742.03</w:t>
      </w:r>
      <w:r>
        <w:rPr>
          <w:rFonts w:hint="eastAsia" w:ascii="华文仿宋" w:hAnsi="华文仿宋" w:eastAsia="华文仿宋" w:cs="华文仿宋"/>
          <w:bCs/>
          <w:sz w:val="32"/>
          <w:szCs w:val="32"/>
        </w:rPr>
        <w:t>万元，公共安全支出</w:t>
      </w:r>
      <w:r>
        <w:rPr>
          <w:rFonts w:hint="eastAsia" w:ascii="华文仿宋" w:hAnsi="华文仿宋" w:eastAsia="华文仿宋" w:cs="华文仿宋"/>
          <w:bCs/>
          <w:sz w:val="32"/>
          <w:szCs w:val="32"/>
          <w:lang w:val="en-US" w:eastAsia="zh-CN"/>
        </w:rPr>
        <w:t>3万元，</w:t>
      </w:r>
      <w:r>
        <w:rPr>
          <w:rFonts w:hint="eastAsia" w:ascii="华文仿宋" w:hAnsi="华文仿宋" w:eastAsia="华文仿宋" w:cs="华文仿宋"/>
          <w:bCs/>
          <w:sz w:val="32"/>
          <w:szCs w:val="32"/>
        </w:rPr>
        <w:t>社会保障和就业支出</w:t>
      </w:r>
      <w:r>
        <w:rPr>
          <w:rFonts w:hint="eastAsia" w:ascii="华文仿宋" w:hAnsi="华文仿宋" w:eastAsia="华文仿宋" w:cs="华文仿宋"/>
          <w:bCs/>
          <w:sz w:val="32"/>
          <w:szCs w:val="32"/>
          <w:lang w:val="en-US" w:eastAsia="zh-CN"/>
        </w:rPr>
        <w:t>790.71</w:t>
      </w:r>
      <w:r>
        <w:rPr>
          <w:rFonts w:hint="eastAsia" w:ascii="华文仿宋" w:hAnsi="华文仿宋" w:eastAsia="华文仿宋" w:cs="华文仿宋"/>
          <w:bCs/>
          <w:sz w:val="32"/>
          <w:szCs w:val="32"/>
        </w:rPr>
        <w:t>万元，卫生健康支出</w:t>
      </w:r>
      <w:r>
        <w:rPr>
          <w:rFonts w:hint="eastAsia" w:ascii="华文仿宋" w:hAnsi="华文仿宋" w:eastAsia="华文仿宋" w:cs="华文仿宋"/>
          <w:bCs/>
          <w:sz w:val="32"/>
          <w:szCs w:val="32"/>
          <w:lang w:val="en-US" w:eastAsia="zh-CN"/>
        </w:rPr>
        <w:t>225.58</w:t>
      </w:r>
      <w:r>
        <w:rPr>
          <w:rFonts w:hint="eastAsia" w:ascii="华文仿宋" w:hAnsi="华文仿宋" w:eastAsia="华文仿宋" w:cs="华文仿宋"/>
          <w:bCs/>
          <w:sz w:val="32"/>
          <w:szCs w:val="32"/>
        </w:rPr>
        <w:t>万元，节能环保支出</w:t>
      </w:r>
      <w:r>
        <w:rPr>
          <w:rFonts w:hint="eastAsia" w:ascii="华文仿宋" w:hAnsi="华文仿宋" w:eastAsia="华文仿宋" w:cs="华文仿宋"/>
          <w:bCs/>
          <w:sz w:val="32"/>
          <w:szCs w:val="32"/>
          <w:lang w:val="en-US" w:eastAsia="zh-CN"/>
        </w:rPr>
        <w:t>158.88</w:t>
      </w:r>
      <w:r>
        <w:rPr>
          <w:rFonts w:hint="eastAsia" w:ascii="华文仿宋" w:hAnsi="华文仿宋" w:eastAsia="华文仿宋" w:cs="华文仿宋"/>
          <w:bCs/>
          <w:sz w:val="32"/>
          <w:szCs w:val="32"/>
        </w:rPr>
        <w:t>万元，城乡社区支出</w:t>
      </w:r>
      <w:r>
        <w:rPr>
          <w:rFonts w:hint="eastAsia" w:ascii="华文仿宋" w:hAnsi="华文仿宋" w:eastAsia="华文仿宋" w:cs="华文仿宋"/>
          <w:bCs/>
          <w:sz w:val="32"/>
          <w:szCs w:val="32"/>
          <w:lang w:val="en-US" w:eastAsia="zh-CN"/>
        </w:rPr>
        <w:t>909.14</w:t>
      </w:r>
      <w:r>
        <w:rPr>
          <w:rFonts w:hint="eastAsia" w:ascii="华文仿宋" w:hAnsi="华文仿宋" w:eastAsia="华文仿宋" w:cs="华文仿宋"/>
          <w:bCs/>
          <w:sz w:val="32"/>
          <w:szCs w:val="32"/>
        </w:rPr>
        <w:t>万元，农林水支出</w:t>
      </w:r>
      <w:r>
        <w:rPr>
          <w:rFonts w:hint="eastAsia" w:ascii="华文仿宋" w:hAnsi="华文仿宋" w:eastAsia="华文仿宋" w:cs="华文仿宋"/>
          <w:bCs/>
          <w:sz w:val="32"/>
          <w:szCs w:val="32"/>
          <w:lang w:val="en-US" w:eastAsia="zh-CN"/>
        </w:rPr>
        <w:t>1708.75</w:t>
      </w:r>
      <w:r>
        <w:rPr>
          <w:rFonts w:hint="eastAsia" w:ascii="华文仿宋" w:hAnsi="华文仿宋" w:eastAsia="华文仿宋" w:cs="华文仿宋"/>
          <w:bCs/>
          <w:sz w:val="32"/>
          <w:szCs w:val="32"/>
        </w:rPr>
        <w:t>万元，商业服务业等支出</w:t>
      </w:r>
      <w:r>
        <w:rPr>
          <w:rFonts w:hint="eastAsia" w:ascii="华文仿宋" w:hAnsi="华文仿宋" w:eastAsia="华文仿宋" w:cs="华文仿宋"/>
          <w:bCs/>
          <w:sz w:val="32"/>
          <w:szCs w:val="32"/>
          <w:lang w:val="en-US" w:eastAsia="zh-CN"/>
        </w:rPr>
        <w:t>10万元</w:t>
      </w:r>
      <w:r>
        <w:rPr>
          <w:rFonts w:hint="eastAsia" w:ascii="华文仿宋" w:hAnsi="华文仿宋" w:eastAsia="华文仿宋" w:cs="华文仿宋"/>
          <w:bCs/>
          <w:sz w:val="32"/>
          <w:szCs w:val="32"/>
          <w:lang w:eastAsia="zh-CN"/>
        </w:rPr>
        <w:t>，</w:t>
      </w:r>
      <w:r>
        <w:rPr>
          <w:rFonts w:hint="eastAsia" w:ascii="华文仿宋" w:hAnsi="华文仿宋" w:eastAsia="华文仿宋" w:cs="华文仿宋"/>
          <w:bCs/>
          <w:sz w:val="32"/>
          <w:szCs w:val="32"/>
        </w:rPr>
        <w:t>住房保障支出</w:t>
      </w:r>
      <w:r>
        <w:rPr>
          <w:rFonts w:hint="eastAsia" w:ascii="华文仿宋" w:hAnsi="华文仿宋" w:eastAsia="华文仿宋" w:cs="华文仿宋"/>
          <w:bCs/>
          <w:sz w:val="32"/>
          <w:szCs w:val="32"/>
          <w:lang w:val="en-US" w:eastAsia="zh-CN"/>
        </w:rPr>
        <w:t>59.26</w:t>
      </w:r>
      <w:r>
        <w:rPr>
          <w:rFonts w:hint="eastAsia" w:ascii="华文仿宋" w:hAnsi="华文仿宋" w:eastAsia="华文仿宋" w:cs="华文仿宋"/>
          <w:bCs/>
          <w:sz w:val="32"/>
          <w:szCs w:val="32"/>
        </w:rPr>
        <w:t>万元，灾害防治及应急管理支出</w:t>
      </w:r>
      <w:r>
        <w:rPr>
          <w:rFonts w:hint="eastAsia" w:ascii="华文仿宋" w:hAnsi="华文仿宋" w:eastAsia="华文仿宋" w:cs="华文仿宋"/>
          <w:bCs/>
          <w:sz w:val="32"/>
          <w:szCs w:val="32"/>
          <w:lang w:val="en-US" w:eastAsia="zh-CN"/>
        </w:rPr>
        <w:t>64万元，</w:t>
      </w:r>
      <w:r>
        <w:rPr>
          <w:rFonts w:hint="eastAsia" w:ascii="华文仿宋" w:hAnsi="华文仿宋" w:eastAsia="华文仿宋" w:cs="华文仿宋"/>
          <w:bCs/>
          <w:sz w:val="32"/>
          <w:szCs w:val="32"/>
        </w:rPr>
        <w:t>其他支出</w:t>
      </w:r>
      <w:r>
        <w:rPr>
          <w:rFonts w:hint="eastAsia" w:ascii="华文仿宋" w:hAnsi="华文仿宋" w:eastAsia="华文仿宋" w:cs="华文仿宋"/>
          <w:bCs/>
          <w:sz w:val="32"/>
          <w:szCs w:val="32"/>
          <w:lang w:val="en-US" w:eastAsia="zh-CN"/>
        </w:rPr>
        <w:t>6.06</w:t>
      </w:r>
      <w:r>
        <w:rPr>
          <w:rFonts w:hint="eastAsia" w:ascii="华文仿宋" w:hAnsi="华文仿宋" w:eastAsia="华文仿宋" w:cs="华文仿宋"/>
          <w:bCs/>
          <w:sz w:val="32"/>
          <w:szCs w:val="32"/>
        </w:rPr>
        <w:t>万元。</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2"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1、整体支出绩效目标：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目标1：凝心聚力抓经济、谋发展，综合实力在攻坚克难中再上新台阶。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目标2：尽心竭力补短板、抓提升，城乡品质在美美与共中彰显新面貌。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目标3：同心合力保民生、办实事，民生福祉在共建共享中迈出新步伐。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目标4：从严从细防风险、保稳定，社会和谐在互促共进中展现新气象。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目标5：持之以恒转作风、提效能，自身建设在担当作为中得到新淬炼。</w:t>
      </w:r>
    </w:p>
    <w:p>
      <w:pPr>
        <w:pStyle w:val="12"/>
        <w:keepNext w:val="0"/>
        <w:keepLines w:val="0"/>
        <w:pageBreakBefore w:val="0"/>
        <w:widowControl/>
        <w:numPr>
          <w:ilvl w:val="0"/>
          <w:numId w:val="4"/>
        </w:numPr>
        <w:kinsoku/>
        <w:wordWrap/>
        <w:overflowPunct/>
        <w:topLinePunct w:val="0"/>
        <w:autoSpaceDE/>
        <w:autoSpaceDN/>
        <w:bidi w:val="0"/>
        <w:adjustRightInd/>
        <w:snapToGrid/>
        <w:spacing w:line="640" w:lineRule="exact"/>
        <w:ind w:left="640" w:leftChars="0" w:firstLine="0"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项目支出绩效目标：</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目标1：投入乡镇转移支付177.09万元，保障乡镇机关站所日常工作正常运转，做好全镇各项主要工作。</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目标2：社区运转经费及社区干部待遇，社区运转经费提高到326万元，加强社区建设，提高工作人员主动性、积极性和创造性。</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目标3：村级运转经费及村干部待遇，村级运转提高到460万，加强村级建设，提供工作人员主动性，积极性和创造性。</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目标4：投入村级社区组织规范建设资金及服务群众专项经费42万元，确保村级组织规范化建设上水平、服务群众上档次、提升老百姓获得感、幸福感。</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目标5：投入其他转移支付资金200万元，进一步改善乡镇人居环境，提升城镇品位，加强城镇日常管理，保障城管管理及环卫工作人员日常工作正常开展。</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我镇2023年一般公共预算支出4904.11万元，其中基本支出1996.37万元，项目支出2907.74万元，预算执行率100%。</w:t>
      </w:r>
    </w:p>
    <w:p>
      <w:pPr>
        <w:pStyle w:val="12"/>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我镇2023年一般公共预算</w:t>
      </w:r>
      <w:r>
        <w:rPr>
          <w:rFonts w:hint="default" w:ascii="仿宋_GB2312" w:hAnsi="仿宋_GB2312" w:eastAsia="仿宋_GB2312" w:cs="仿宋_GB2312"/>
          <w:kern w:val="2"/>
          <w:sz w:val="32"/>
          <w:szCs w:val="32"/>
          <w:lang w:val="en-US" w:eastAsia="zh-CN" w:bidi="ar-SA"/>
        </w:rPr>
        <w:t>基本支出1</w:t>
      </w:r>
      <w:r>
        <w:rPr>
          <w:rFonts w:hint="eastAsia" w:ascii="仿宋_GB2312" w:hAnsi="仿宋_GB2312" w:eastAsia="仿宋_GB2312" w:cs="仿宋_GB2312"/>
          <w:kern w:val="2"/>
          <w:sz w:val="32"/>
          <w:szCs w:val="32"/>
          <w:lang w:val="en-US" w:eastAsia="zh-CN" w:bidi="ar-SA"/>
        </w:rPr>
        <w:t>996.37</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1799.32</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lang w:val="en-US" w:eastAsia="zh-CN" w:bidi="ar-SA"/>
        </w:rPr>
        <w:t>197.05</w:t>
      </w:r>
      <w:r>
        <w:rPr>
          <w:rFonts w:hint="default" w:ascii="仿宋_GB2312" w:hAnsi="仿宋_GB2312" w:eastAsia="仿宋_GB2312" w:cs="仿宋_GB2312"/>
          <w:kern w:val="2"/>
          <w:sz w:val="32"/>
          <w:szCs w:val="32"/>
          <w:lang w:val="en-US" w:eastAsia="zh-CN" w:bidi="ar-SA"/>
        </w:rPr>
        <w:t>万元。</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2"/>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2023年我镇一般公共预算项目支出2907.74</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主要是本部门为完成特定工作任务或事业发展目标而发生的支出，包括有关事业发展专项、专项业务费、基本建设支出等，含村级支出、社区运转保障经费、离任村干部生活补助等项目支出。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华文仿宋" w:hAnsi="华文仿宋" w:eastAsia="华文仿宋" w:cs="华文仿宋"/>
          <w:color w:val="000000"/>
          <w:kern w:val="0"/>
          <w:sz w:val="32"/>
          <w:szCs w:val="32"/>
          <w:highlight w:val="none"/>
          <w:lang w:val="en-US" w:eastAsia="zh-CN" w:bidi="ar-SA"/>
        </w:rPr>
        <w:t>2023年政府性基金预算支出5.24万元。均为农村基础设施建设。</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我镇无此项支出。</w:t>
      </w:r>
    </w:p>
    <w:p>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我镇无此项支出。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我镇</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w:t>
      </w:r>
      <w:r>
        <w:rPr>
          <w:rFonts w:hint="eastAsia" w:ascii="Times New Roman" w:hAnsi="Times New Roman" w:eastAsia="仿宋_GB2312" w:cs="Times New Roman"/>
          <w:color w:val="000000"/>
          <w:sz w:val="32"/>
          <w:szCs w:val="32"/>
          <w:highlight w:val="none"/>
          <w:lang w:eastAsia="zh-CN"/>
        </w:rPr>
        <w:t>坚持量力而行，量财办事，</w:t>
      </w:r>
      <w:r>
        <w:rPr>
          <w:rFonts w:hint="default" w:ascii="Times New Roman" w:hAnsi="Times New Roman" w:eastAsia="仿宋_GB2312" w:cs="Times New Roman"/>
          <w:color w:val="000000"/>
          <w:sz w:val="32"/>
          <w:szCs w:val="32"/>
          <w:highlight w:val="none"/>
        </w:rPr>
        <w:t>单位行政运行稳定有序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各项工作任</w:t>
      </w:r>
      <w:r>
        <w:rPr>
          <w:rFonts w:hint="default" w:ascii="Times New Roman" w:hAnsi="Times New Roman" w:eastAsia="仿宋_GB2312" w:cs="Times New Roman"/>
          <w:color w:val="000000"/>
          <w:sz w:val="32"/>
          <w:szCs w:val="32"/>
          <w:highlight w:val="none"/>
        </w:rPr>
        <w:t>务全面完成，</w:t>
      </w:r>
      <w:r>
        <w:rPr>
          <w:rFonts w:hint="eastAsia" w:ascii="仿宋_GB2312" w:hAnsi="仿宋_GB2312" w:eastAsia="仿宋_GB2312" w:cs="仿宋_GB2312"/>
          <w:kern w:val="2"/>
          <w:sz w:val="32"/>
          <w:szCs w:val="32"/>
          <w:lang w:val="en-US" w:eastAsia="zh-CN" w:bidi="ar-SA"/>
        </w:rPr>
        <w:t>部门整体支出绩效自评得分97分。</w:t>
      </w:r>
    </w:p>
    <w:p>
      <w:pPr>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华文楷体" w:hAnsi="华文楷体" w:eastAsia="华文楷体" w:cs="华文楷体"/>
          <w:b/>
          <w:bCs/>
          <w:color w:val="000000"/>
          <w:sz w:val="32"/>
          <w:szCs w:val="32"/>
          <w:highlight w:val="none"/>
        </w:rPr>
      </w:pPr>
      <w:r>
        <w:rPr>
          <w:rFonts w:hint="eastAsia" w:ascii="华文楷体" w:hAnsi="华文楷体" w:eastAsia="华文楷体" w:cs="华文楷体"/>
          <w:b/>
          <w:bCs/>
          <w:kern w:val="2"/>
          <w:sz w:val="32"/>
          <w:szCs w:val="32"/>
          <w:lang w:val="en-US" w:eastAsia="zh-CN" w:bidi="ar-SA"/>
        </w:rPr>
        <w:t>预算财务管理方面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我镇</w:t>
      </w:r>
      <w:r>
        <w:rPr>
          <w:rFonts w:hint="default" w:ascii="Times New Roman" w:hAnsi="Times New Roman" w:eastAsia="仿宋_GB2312" w:cs="Times New Roman"/>
          <w:color w:val="000000"/>
          <w:sz w:val="32"/>
          <w:szCs w:val="32"/>
          <w:highlight w:val="none"/>
        </w:rPr>
        <w:t>严格遵守各项规章制度，严格执行经费审批制度、财务会审制度和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华文楷体" w:hAnsi="华文楷体" w:eastAsia="华文楷体" w:cs="华文楷体"/>
          <w:b/>
          <w:bCs/>
          <w:color w:val="000000"/>
          <w:kern w:val="0"/>
          <w:sz w:val="32"/>
          <w:szCs w:val="32"/>
          <w:lang w:val="en-US" w:eastAsia="zh-CN" w:bidi="ar-SA"/>
        </w:rPr>
      </w:pPr>
      <w:r>
        <w:rPr>
          <w:rFonts w:hint="eastAsia" w:ascii="华文楷体" w:hAnsi="华文楷体" w:eastAsia="华文楷体" w:cs="华文楷体"/>
          <w:b/>
          <w:bCs/>
          <w:kern w:val="44"/>
          <w:sz w:val="32"/>
          <w:szCs w:val="32"/>
          <w:lang w:val="en-US" w:eastAsia="zh-CN" w:bidi="ar"/>
        </w:rPr>
        <w:t>（二）履职产出效益方面</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2023年</w:t>
      </w:r>
      <w:r>
        <w:rPr>
          <w:rFonts w:hint="default" w:ascii="Times New Roman" w:hAnsi="Times New Roman" w:eastAsia="仿宋_GB2312" w:cs="Times New Roman"/>
          <w:color w:val="000000"/>
          <w:sz w:val="32"/>
          <w:szCs w:val="32"/>
          <w:highlight w:val="none"/>
        </w:rPr>
        <w:t>是全面贯彻党的二十大精神的开局之年，也是迈向“后疫情时代”社会发展快速复苏的过渡之年。全镇上下坚持以习近平新时代中国特色社会主义思想为指导，深入贯彻落实党的二十大精神，在区委区政府的领导下，聚焦打造乡村振兴和农文旅体融合发展两个样板，较好完成了全年目标任务。渔民上岸转产转型工作获得习近平总书记的肯定鼓励和亲切关怀；中央纪委、农业农村部等国家、省市相关部门来镇调研指导20余次；党建、文化和特色产业发展等工作得到新华社、中国新闻网、新湖南、岳阳日报、君山在线等宣传推介50余次；我镇获评“全省先进财政所”“计划生育协会工作先进集体”“全市禁捕退捕工作先进乡镇”“第七次全国人口普查先进集体”“计生综合保险工作优秀单位”“城市标准化管理考核先进乡镇”；六门闸社区获评“全市党建引领乡村振兴示范基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这一年，我们凝心聚力抓经济、谋发展，综合实力在</w:t>
      </w:r>
      <w:r>
        <w:rPr>
          <w:rFonts w:hint="eastAsia" w:ascii="楷体_GB2312" w:hAnsi="楷体_GB2312" w:eastAsia="楷体_GB2312" w:cs="楷体_GB2312"/>
          <w:b/>
          <w:bCs/>
          <w:sz w:val="32"/>
          <w:szCs w:val="32"/>
          <w:lang w:eastAsia="zh-CN"/>
        </w:rPr>
        <w:t>攻坚克难</w:t>
      </w:r>
      <w:r>
        <w:rPr>
          <w:rFonts w:hint="eastAsia" w:ascii="楷体_GB2312" w:hAnsi="楷体_GB2312" w:eastAsia="楷体_GB2312" w:cs="楷体_GB2312"/>
          <w:b/>
          <w:bCs/>
          <w:sz w:val="32"/>
          <w:szCs w:val="32"/>
        </w:rPr>
        <w:t>中再上新台阶。</w:t>
      </w:r>
      <w:r>
        <w:rPr>
          <w:rFonts w:hint="eastAsia" w:ascii="仿宋_GB2312" w:hAnsi="仿宋_GB2312" w:eastAsia="仿宋_GB2312" w:cs="仿宋_GB2312"/>
          <w:b/>
          <w:bCs/>
          <w:sz w:val="32"/>
          <w:szCs w:val="32"/>
        </w:rPr>
        <w:t>一是产业支撑作用更加有力。</w:t>
      </w:r>
      <w:r>
        <w:rPr>
          <w:rFonts w:hint="eastAsia" w:ascii="楷体_GB2312" w:hAnsi="楷体_GB2312" w:eastAsia="楷体_GB2312" w:cs="楷体_GB2312"/>
          <w:b w:val="0"/>
          <w:bCs w:val="0"/>
          <w:sz w:val="32"/>
          <w:szCs w:val="32"/>
        </w:rPr>
        <w:t>一产根基稳，</w:t>
      </w:r>
      <w:r>
        <w:rPr>
          <w:rFonts w:hint="eastAsia" w:ascii="仿宋_GB2312" w:hAnsi="仿宋_GB2312" w:eastAsia="仿宋_GB2312" w:cs="仿宋_GB2312"/>
          <w:sz w:val="32"/>
          <w:szCs w:val="32"/>
        </w:rPr>
        <w:t>全年全镇完成水稻播种面积11.175万亩，其他粮食作物种植3.5万亩，超额完成粮食播种任务面积。守牢耕地保护红线，26个“非农化”、“非粮化”图斑、51个月清三地两矿图斑共涉及面积394.68亩，通过整改、落实进出平衡等方式，全部完成了销号任务。</w:t>
      </w:r>
      <w:r>
        <w:rPr>
          <w:rFonts w:hint="eastAsia" w:ascii="楷体_GB2312" w:hAnsi="楷体_GB2312" w:eastAsia="楷体_GB2312" w:cs="楷体_GB2312"/>
          <w:b w:val="0"/>
          <w:bCs w:val="0"/>
          <w:sz w:val="32"/>
          <w:szCs w:val="32"/>
        </w:rPr>
        <w:t>二产态势好，</w:t>
      </w:r>
      <w:r>
        <w:rPr>
          <w:rFonts w:hint="eastAsia" w:ascii="仿宋_GB2312" w:hAnsi="仿宋_GB2312" w:eastAsia="仿宋_GB2312" w:cs="仿宋_GB2312"/>
          <w:sz w:val="32"/>
          <w:szCs w:val="32"/>
        </w:rPr>
        <w:t>聚焦品牌、品质、品味“三品”定位，纵深小龙虾产业链条</w:t>
      </w:r>
      <w:r>
        <w:rPr>
          <w:rFonts w:hint="eastAsia" w:ascii="仿宋_GB2312" w:hAnsi="仿宋_GB2312" w:eastAsia="仿宋_GB2312" w:cs="仿宋_GB2312"/>
          <w:sz w:val="32"/>
          <w:szCs w:val="32"/>
          <w:lang w:eastAsia="zh-CN"/>
        </w:rPr>
        <w:t>，强化六门闸风干鱼国家地理标志产品品牌运营，助力</w:t>
      </w:r>
      <w:r>
        <w:rPr>
          <w:rFonts w:hint="eastAsia" w:ascii="仿宋_GB2312" w:hAnsi="仿宋_GB2312" w:cs="仿宋_GB2312"/>
          <w:sz w:val="32"/>
          <w:szCs w:val="32"/>
          <w:lang w:eastAsia="zh-CN"/>
        </w:rPr>
        <w:t>君山</w:t>
      </w:r>
      <w:r>
        <w:rPr>
          <w:rFonts w:hint="eastAsia" w:ascii="仿宋_GB2312" w:hAnsi="仿宋_GB2312" w:eastAsia="仿宋_GB2312" w:cs="仿宋_GB2312"/>
          <w:sz w:val="32"/>
          <w:szCs w:val="32"/>
          <w:lang w:eastAsia="zh-CN"/>
        </w:rPr>
        <w:t>区获评“中国风干鱼之乡”称号</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三产活力足，</w:t>
      </w:r>
      <w:r>
        <w:rPr>
          <w:rFonts w:hint="eastAsia" w:ascii="仿宋_GB2312" w:hAnsi="仿宋_GB2312" w:eastAsia="仿宋_GB2312" w:cs="仿宋_GB2312"/>
          <w:sz w:val="32"/>
          <w:szCs w:val="32"/>
          <w:lang w:eastAsia="zh-CN"/>
        </w:rPr>
        <w:t>稳步推进六门闸风干鱼电商平台建设，发展集主播培养、直播带货、电商助农、旅游宣传于一体的运营模式，年销售风干鱼140余万斤，接待进店购物游客3万余人，年营业额达3000多万元。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eastAsia="zh-CN"/>
        </w:rPr>
        <w:t>文旅融合</w:t>
      </w:r>
      <w:r>
        <w:rPr>
          <w:rFonts w:hint="eastAsia" w:ascii="仿宋_GB2312" w:hAnsi="仿宋_GB2312" w:eastAsia="仿宋_GB2312" w:cs="仿宋_GB2312"/>
          <w:b/>
          <w:bCs/>
          <w:sz w:val="32"/>
          <w:szCs w:val="32"/>
        </w:rPr>
        <w:t>势头更加强劲。</w:t>
      </w:r>
      <w:r>
        <w:rPr>
          <w:rFonts w:hint="eastAsia" w:ascii="仿宋_GB2312" w:hAnsi="仿宋_GB2312" w:eastAsia="仿宋_GB2312" w:cs="仿宋_GB2312"/>
          <w:sz w:val="32"/>
          <w:szCs w:val="32"/>
          <w:lang w:eastAsia="zh-CN"/>
        </w:rPr>
        <w:t>推进采桑湖</w:t>
      </w:r>
      <w:r>
        <w:rPr>
          <w:rFonts w:hint="eastAsia" w:ascii="仿宋_GB2312" w:hAnsi="仿宋_GB2312" w:eastAsia="仿宋_GB2312" w:cs="仿宋_GB2312"/>
          <w:sz w:val="32"/>
          <w:szCs w:val="32"/>
          <w:lang w:val="en-US" w:eastAsia="zh-CN"/>
        </w:rPr>
        <w:t>观鸟小镇建设，协办第十二届国际观鸟节，开展以“爱鸟、护鸟、享自然”为主题的系列观鸟节宣传活动，吸引游客数万名；举办“君山龙虾季” 系列活动，实现活动创收150余万元；分路口逸馨生态度假村获评“2023年湖南省五星级休闲农业庄园”，承办区首届丰收节、钓龙虾节、糍粑节等节会10余场，接待游客11万人次，引燃又一旅游“爆点”。</w:t>
      </w:r>
      <w:r>
        <w:rPr>
          <w:rFonts w:hint="eastAsia" w:ascii="仿宋_GB2312" w:hAnsi="仿宋_GB2312" w:eastAsia="仿宋_GB2312" w:cs="仿宋_GB2312"/>
          <w:b/>
          <w:bCs/>
          <w:sz w:val="32"/>
          <w:szCs w:val="32"/>
        </w:rPr>
        <w:t>三是招商引资实效更加凸显。</w:t>
      </w:r>
      <w:r>
        <w:rPr>
          <w:rFonts w:hint="eastAsia" w:ascii="仿宋_GB2312" w:hAnsi="仿宋_GB2312" w:eastAsia="仿宋_GB2312" w:cs="仿宋_GB2312"/>
          <w:sz w:val="32"/>
          <w:szCs w:val="32"/>
        </w:rPr>
        <w:t>完成国土空间规划方案编制，有效利用土地资源，</w:t>
      </w:r>
      <w:r>
        <w:rPr>
          <w:rFonts w:hint="eastAsia" w:ascii="仿宋_GB2312" w:hAnsi="仿宋_GB2312" w:eastAsia="仿宋_GB2312" w:cs="仿宋_GB2312"/>
          <w:sz w:val="32"/>
          <w:szCs w:val="32"/>
          <w:lang w:eastAsia="zh-CN"/>
        </w:rPr>
        <w:t>为招商引资打下</w:t>
      </w:r>
      <w:r>
        <w:rPr>
          <w:rFonts w:hint="eastAsia" w:ascii="仿宋_GB2312" w:hAnsi="仿宋_GB2312" w:cs="仿宋_GB2312"/>
          <w:sz w:val="32"/>
          <w:szCs w:val="32"/>
          <w:lang w:eastAsia="zh-CN"/>
        </w:rPr>
        <w:t>坚实</w:t>
      </w: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rPr>
        <w:t>充分利用乡友资源，坚持以链招商、以商招商，顺利招引神农农业仓储农产品加工</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、湖南美长年贸易有限公司、岳阳湘汇食品项目、市交投物流园、东莞保时电子科技有限公司和君和酒店等项目6个，总投资金额达1.8亿元，超额完成“188工程”目标任务。</w:t>
      </w:r>
      <w:r>
        <w:rPr>
          <w:rFonts w:hint="eastAsia" w:ascii="仿宋_GB2312" w:hAnsi="仿宋_GB2312" w:eastAsia="仿宋_GB2312" w:cs="仿宋_GB2312"/>
          <w:b/>
          <w:bCs/>
          <w:sz w:val="32"/>
          <w:szCs w:val="32"/>
          <w:lang w:val="en-US" w:eastAsia="zh-CN"/>
        </w:rPr>
        <w:t>四是村级集体经济更加壮大。</w:t>
      </w:r>
      <w:r>
        <w:rPr>
          <w:rFonts w:hint="eastAsia" w:ascii="仿宋_GB2312" w:hAnsi="仿宋_GB2312" w:eastAsia="仿宋_GB2312" w:cs="仿宋_GB2312"/>
          <w:sz w:val="32"/>
          <w:szCs w:val="32"/>
          <w:lang w:val="en-US" w:eastAsia="zh-CN"/>
        </w:rPr>
        <w:t>做活</w:t>
      </w:r>
      <w:r>
        <w:rPr>
          <w:rFonts w:hint="eastAsia" w:ascii="仿宋_GB2312" w:hAnsi="仿宋_GB2312" w:eastAsia="仿宋_GB2312" w:cs="仿宋_GB2312"/>
          <w:sz w:val="32"/>
          <w:szCs w:val="32"/>
          <w:lang w:eastAsia="zh-CN"/>
        </w:rPr>
        <w:t>土地流转文章，分路口、文家湾等八个村（场）、社区土地流转面积达一千亩以上，同时制定“一村一策”，全年实现村集体收入686万元，10万元以下村全部清零。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这一年，我们尽心竭力补短板、抓提升，城乡品质在美美与共中彰显新面貌。</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文明创建越来越实。</w:t>
      </w:r>
      <w:r>
        <w:rPr>
          <w:rFonts w:hint="eastAsia" w:ascii="仿宋_GB2312" w:hAnsi="仿宋_GB2312" w:eastAsia="仿宋_GB2312" w:cs="仿宋_GB2312"/>
          <w:sz w:val="32"/>
          <w:szCs w:val="32"/>
        </w:rPr>
        <w:t>依托新时代文明实践所（站），巩固和提升全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文明村镇影响力、感召力。</w:t>
      </w:r>
      <w:r>
        <w:rPr>
          <w:rFonts w:hint="eastAsia" w:ascii="楷体_GB2312" w:hAnsi="楷体_GB2312" w:eastAsia="楷体_GB2312" w:cs="楷体_GB2312"/>
          <w:b w:val="0"/>
          <w:bCs w:val="0"/>
          <w:sz w:val="32"/>
          <w:szCs w:val="32"/>
          <w:lang w:eastAsia="zh-CN"/>
        </w:rPr>
        <w:t>一方面，</w:t>
      </w:r>
      <w:r>
        <w:rPr>
          <w:rFonts w:hint="eastAsia" w:ascii="楷体_GB2312" w:hAnsi="楷体_GB2312" w:eastAsia="楷体_GB2312" w:cs="楷体_GB2312"/>
          <w:b w:val="0"/>
          <w:bCs w:val="0"/>
          <w:sz w:val="32"/>
          <w:szCs w:val="32"/>
        </w:rPr>
        <w:t>活动实</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充分发挥文化阵地功能，先后举办“四季同行·雷锋家乡学雷锋”“我们的节日”“与君说”基层理论宣讲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广场舞汇演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“冬季村晚”文艺汇演</w:t>
      </w:r>
      <w:r>
        <w:rPr>
          <w:rFonts w:hint="eastAsia" w:ascii="仿宋_GB2312" w:hAnsi="仿宋_GB2312" w:eastAsia="仿宋_GB2312" w:cs="仿宋_GB2312"/>
          <w:sz w:val="32"/>
          <w:szCs w:val="32"/>
          <w:lang w:eastAsia="zh-CN"/>
        </w:rPr>
        <w:t>、钱粮湖镇首届乡镇春晚暨乡友联谊会</w:t>
      </w:r>
      <w:r>
        <w:rPr>
          <w:rFonts w:hint="eastAsia" w:ascii="仿宋_GB2312" w:hAnsi="仿宋_GB2312" w:eastAsia="仿宋_GB2312" w:cs="仿宋_GB2312"/>
          <w:sz w:val="32"/>
          <w:szCs w:val="32"/>
        </w:rPr>
        <w:t>等文化活动</w:t>
      </w:r>
      <w:r>
        <w:rPr>
          <w:rFonts w:hint="eastAsia" w:ascii="仿宋_GB2312" w:hAnsi="仿宋_GB2312" w:eastAsia="仿宋_GB2312" w:cs="仿宋_GB2312"/>
          <w:sz w:val="32"/>
          <w:szCs w:val="32"/>
          <w:lang w:val="en-US" w:eastAsia="zh-CN"/>
        </w:rPr>
        <w:t>100余</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val="0"/>
          <w:bCs w:val="0"/>
          <w:sz w:val="32"/>
          <w:szCs w:val="32"/>
          <w:lang w:eastAsia="zh-CN"/>
        </w:rPr>
        <w:t>另一方面，</w:t>
      </w:r>
      <w:r>
        <w:rPr>
          <w:rFonts w:hint="eastAsia" w:ascii="楷体_GB2312" w:hAnsi="楷体_GB2312" w:eastAsia="楷体_GB2312" w:cs="楷体_GB2312"/>
          <w:b w:val="0"/>
          <w:bCs w:val="0"/>
          <w:sz w:val="32"/>
          <w:szCs w:val="32"/>
        </w:rPr>
        <w:t>载体实</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rPr>
        <w:t>依托乡村“一约四会一队”，着力引导群众移风易俗，劝导红白喜事187起。大力弘扬乡贤文化和好人文化，树立和推广“湖南好人”先进典型1名、市级文明家庭1个。</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bCs/>
          <w:sz w:val="32"/>
          <w:szCs w:val="32"/>
        </w:rPr>
        <w:t>乡村振兴越来越优。</w:t>
      </w:r>
      <w:r>
        <w:rPr>
          <w:rFonts w:hint="eastAsia" w:ascii="仿宋_GB2312" w:hAnsi="仿宋_GB2312" w:eastAsia="仿宋_GB2312" w:cs="仿宋_GB2312"/>
          <w:sz w:val="32"/>
          <w:szCs w:val="32"/>
        </w:rPr>
        <w:t>发挥全省乡村振兴示范乡镇政策、资金优势，扎实推进</w:t>
      </w:r>
      <w:r>
        <w:rPr>
          <w:rFonts w:hint="eastAsia" w:ascii="仿宋_GB2312" w:hAnsi="仿宋_GB2312" w:eastAsia="仿宋_GB2312" w:cs="仿宋_GB2312"/>
          <w:sz w:val="32"/>
          <w:szCs w:val="32"/>
          <w:lang w:eastAsia="zh-CN"/>
        </w:rPr>
        <w:t>钱粮湖</w:t>
      </w:r>
      <w:r>
        <w:rPr>
          <w:rFonts w:hint="eastAsia" w:ascii="仿宋_GB2312" w:hAnsi="仿宋_GB2312" w:eastAsia="仿宋_GB2312" w:cs="仿宋_GB2312"/>
          <w:sz w:val="32"/>
          <w:szCs w:val="32"/>
        </w:rPr>
        <w:t>全域乡村振兴。</w:t>
      </w:r>
      <w:r>
        <w:rPr>
          <w:rFonts w:hint="eastAsia" w:ascii="楷体_GB2312" w:hAnsi="楷体_GB2312" w:eastAsia="楷体_GB2312" w:cs="楷体_GB2312"/>
          <w:b w:val="0"/>
          <w:bCs w:val="0"/>
          <w:sz w:val="32"/>
          <w:szCs w:val="32"/>
          <w:lang w:eastAsia="zh-CN"/>
        </w:rPr>
        <w:t>一方面，</w:t>
      </w:r>
      <w:r>
        <w:rPr>
          <w:rFonts w:hint="eastAsia" w:ascii="楷体_GB2312" w:hAnsi="楷体_GB2312" w:eastAsia="楷体_GB2312" w:cs="楷体_GB2312"/>
          <w:b w:val="0"/>
          <w:bCs w:val="0"/>
          <w:sz w:val="32"/>
          <w:szCs w:val="32"/>
        </w:rPr>
        <w:t>产业优</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eastAsia="zh-CN"/>
        </w:rPr>
        <w:t>围绕特色产业组团发展</w:t>
      </w:r>
      <w:r>
        <w:rPr>
          <w:rFonts w:hint="eastAsia" w:ascii="仿宋_GB2312" w:hAnsi="仿宋_GB2312" w:eastAsia="仿宋_GB2312" w:cs="仿宋_GB2312"/>
          <w:sz w:val="32"/>
          <w:szCs w:val="32"/>
        </w:rPr>
        <w:t>为重点，大力培育以银杯社区、观音村为中心的“优质大米基地”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以六门闸社区、采桑湖渔场为中心的“农旅融合基地”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以三角闸、文家湾、幸福村为中心的“稻虾套养基地”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以东北湖、西北湖渔场为中心的“鲈鱼养殖基地”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以丰收、天星洲村为中心的“蔬菜种植基地”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实现创收增收。</w:t>
      </w:r>
      <w:r>
        <w:rPr>
          <w:rFonts w:hint="eastAsia" w:ascii="楷体_GB2312" w:hAnsi="楷体_GB2312" w:eastAsia="楷体_GB2312" w:cs="楷体_GB2312"/>
          <w:b w:val="0"/>
          <w:bCs w:val="0"/>
          <w:sz w:val="32"/>
          <w:szCs w:val="32"/>
          <w:lang w:eastAsia="zh-CN"/>
        </w:rPr>
        <w:t>另一方面，项目优。</w:t>
      </w:r>
      <w:r>
        <w:rPr>
          <w:rFonts w:hint="eastAsia" w:ascii="仿宋_GB2312" w:hAnsi="仿宋_GB2312" w:eastAsia="仿宋_GB2312" w:cs="仿宋_GB2312"/>
          <w:sz w:val="32"/>
          <w:szCs w:val="32"/>
          <w:lang w:eastAsia="zh-CN"/>
        </w:rPr>
        <w:t>围绕道路建设、沟渠建设等新增项目60个，以及照明路灯工程4个，累计投入资金788.2万元。</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人居环境越来越靓。</w:t>
      </w:r>
      <w:r>
        <w:rPr>
          <w:rFonts w:hint="eastAsia" w:ascii="仿宋_GB2312" w:hAnsi="仿宋_GB2312" w:eastAsia="仿宋_GB2312" w:cs="仿宋_GB2312"/>
          <w:sz w:val="32"/>
          <w:szCs w:val="32"/>
        </w:rPr>
        <w:t>推动农村人居环境持续向好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打造整洁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和谐的生活环境</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val="0"/>
          <w:bCs w:val="0"/>
          <w:sz w:val="32"/>
          <w:szCs w:val="32"/>
          <w:lang w:eastAsia="zh-CN"/>
        </w:rPr>
        <w:t>一方面，</w:t>
      </w:r>
      <w:r>
        <w:rPr>
          <w:rFonts w:hint="eastAsia" w:ascii="楷体_GB2312" w:hAnsi="楷体_GB2312" w:eastAsia="楷体_GB2312" w:cs="楷体_GB2312"/>
          <w:b w:val="0"/>
          <w:bCs w:val="0"/>
          <w:sz w:val="32"/>
          <w:szCs w:val="32"/>
        </w:rPr>
        <w:t>环境靓</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sz w:val="32"/>
          <w:szCs w:val="32"/>
          <w:lang w:eastAsia="zh-CN"/>
        </w:rPr>
        <w:t>全域推进环境卫生大整治、大提升行动，常态化开展和美屋场、和美家庭等创建评比，创新网格化管理、奖惩考评、门前“三包”等制度，打造宜居宜业高品质美丽乡村。新增改厕三格式化粪池160户，完成问题厕所整改710户。全面推进生活垃圾分类、减量、资源化、无害化处理，完成垃圾分类整改7次。</w:t>
      </w:r>
      <w:r>
        <w:rPr>
          <w:rFonts w:hint="eastAsia" w:ascii="楷体_GB2312" w:hAnsi="楷体_GB2312" w:eastAsia="楷体_GB2312" w:cs="楷体_GB2312"/>
          <w:b w:val="0"/>
          <w:bCs w:val="0"/>
          <w:sz w:val="32"/>
          <w:szCs w:val="32"/>
          <w:lang w:eastAsia="zh-CN"/>
        </w:rPr>
        <w:t>另一方面，生态靓。</w:t>
      </w:r>
      <w:r>
        <w:rPr>
          <w:rFonts w:hint="eastAsia" w:ascii="仿宋_GB2312" w:hAnsi="仿宋_GB2312" w:eastAsia="仿宋_GB2312" w:cs="仿宋_GB2312"/>
          <w:sz w:val="32"/>
          <w:szCs w:val="32"/>
        </w:rPr>
        <w:t>严格落实“长江十年禁渔”要求，及时清理地笼、丝（刺）网15吨，劝阻违规垂钓人员3500余次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落实“三个到位”（政策落实到位、就业帮扶到位、产业引导到位）助推全镇248户、491名渔民全部实现转型转产。全面开展河（湖）“清四乱”专项行动，除杂扫障25公里，禁牛羊上堤220头次，清理飘浮物0.5吨。实行全时段秸秆禁烧，建立长效巡查机制，新增秸秆收储运网点2个，累计收储、利用秸秆1.5万吨。持续开展农业面源污染治理，新建农业废弃物回收点17个，全年回收、处置1.89吨，处置率达到100%。强化污水处理厂的设施运维管理，六门闸国控段面水质监测达标率持续保持100%，水质达III类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这一年，我们同心合力保民生、办实事，民生福祉在共建共享中迈出新步伐。</w:t>
      </w:r>
      <w:r>
        <w:rPr>
          <w:rFonts w:hint="eastAsia" w:ascii="仿宋_GB2312" w:hAnsi="仿宋_GB2312" w:eastAsia="仿宋_GB2312" w:cs="仿宋_GB2312"/>
          <w:b/>
          <w:bCs/>
          <w:sz w:val="32"/>
          <w:szCs w:val="32"/>
        </w:rPr>
        <w:t>一是抓好“基本民生”。</w:t>
      </w:r>
      <w:r>
        <w:rPr>
          <w:rFonts w:hint="eastAsia" w:ascii="仿宋_GB2312" w:hAnsi="仿宋_GB2312" w:eastAsia="仿宋_GB2312" w:cs="仿宋_GB2312"/>
          <w:sz w:val="32"/>
          <w:szCs w:val="32"/>
          <w:lang w:eastAsia="zh-CN"/>
        </w:rPr>
        <w:t>投资919万元</w:t>
      </w:r>
      <w:r>
        <w:rPr>
          <w:rFonts w:hint="eastAsia" w:ascii="仿宋_GB2312" w:hAnsi="仿宋_GB2312" w:eastAsia="仿宋_GB2312" w:cs="仿宋_GB2312"/>
          <w:sz w:val="32"/>
          <w:szCs w:val="32"/>
        </w:rPr>
        <w:t>完成和丰安置点、油脂厂家属区、大市场、永康等四个老旧小区改造建设，并完成相关配套设施建设。投资128.5万元完成钱粮湖、分路口敬老院消防改造工程。实施钱粮湖片区污水支管网建设，解决机关片区及周边污水收集入管网的问题。开通钱粮湖至岳阳的城乡公交路线，促进城乡</w:t>
      </w:r>
      <w:r>
        <w:rPr>
          <w:rFonts w:hint="eastAsia" w:ascii="仿宋_GB2312" w:hAnsi="仿宋_GB2312" w:cs="仿宋_GB2312"/>
          <w:sz w:val="32"/>
          <w:szCs w:val="32"/>
          <w:lang w:eastAsia="zh-CN"/>
        </w:rPr>
        <w:t>融</w:t>
      </w:r>
      <w:r>
        <w:rPr>
          <w:rFonts w:hint="eastAsia" w:ascii="仿宋_GB2312" w:hAnsi="仿宋_GB2312" w:eastAsia="仿宋_GB2312" w:cs="仿宋_GB2312"/>
          <w:sz w:val="32"/>
          <w:szCs w:val="32"/>
        </w:rPr>
        <w:t>合发展。</w:t>
      </w:r>
      <w:r>
        <w:rPr>
          <w:rFonts w:hint="eastAsia" w:ascii="仿宋_GB2312" w:hAnsi="仿宋_GB2312" w:eastAsia="仿宋_GB2312" w:cs="仿宋_GB2312"/>
          <w:b/>
          <w:bCs/>
          <w:sz w:val="32"/>
          <w:szCs w:val="32"/>
        </w:rPr>
        <w:t>二是保障“底线民生”。</w:t>
      </w:r>
      <w:r>
        <w:rPr>
          <w:rFonts w:hint="eastAsia" w:ascii="仿宋_GB2312" w:hAnsi="仿宋_GB2312" w:eastAsia="仿宋_GB2312" w:cs="仿宋_GB2312"/>
          <w:sz w:val="32"/>
          <w:szCs w:val="32"/>
        </w:rPr>
        <w:t>坚持“以民为本、为民解困”的工作宗旨，积极落实社会保障工作，全年共发放低保金559.6万元、残疾人两项补贴89.08万元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分散特困供养金118.19万元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事实无人抚养儿童救助金26.4万元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其他各项惠农补贴全部按序时发放到位</w:t>
      </w:r>
      <w:r>
        <w:rPr>
          <w:rFonts w:hint="eastAsia" w:ascii="仿宋_GB2312" w:hAnsi="仿宋_GB2312" w:eastAsia="仿宋_GB2312" w:cs="仿宋_GB2312"/>
          <w:sz w:val="32"/>
          <w:szCs w:val="32"/>
          <w:lang w:eastAsia="zh-CN"/>
        </w:rPr>
        <w:t>。巩固脱贫成果，全方位跟踪建档立卡风险监测户42户128人，通过入股产业基地、农业发展扶持、跟踪就业情况、纳入低保兜底、介绍工作岗位、发动社会救助等措施，有效提高了脱贫户防御风险能力。</w:t>
      </w:r>
      <w:r>
        <w:rPr>
          <w:rFonts w:hint="eastAsia" w:ascii="仿宋_GB2312" w:hAnsi="仿宋_GB2312" w:eastAsia="仿宋_GB2312" w:cs="仿宋_GB2312"/>
          <w:b/>
          <w:bCs/>
          <w:sz w:val="32"/>
          <w:szCs w:val="32"/>
          <w:lang w:eastAsia="zh-CN"/>
        </w:rPr>
        <w:t>三是强化“热点民生”。</w:t>
      </w:r>
      <w:r>
        <w:rPr>
          <w:rFonts w:hint="eastAsia" w:ascii="仿宋_GB2312" w:hAnsi="仿宋_GB2312" w:eastAsia="仿宋_GB2312" w:cs="仿宋_GB2312"/>
          <w:sz w:val="32"/>
          <w:szCs w:val="32"/>
          <w:lang w:eastAsia="zh-CN"/>
        </w:rPr>
        <w:t>力促农垦企业职工基本养老保险问题出台新政策，解决765人的养老保险问题，有效化解了困扰多年的重大历史遗留问题</w:t>
      </w:r>
      <w:r>
        <w:rPr>
          <w:rFonts w:hint="eastAsia" w:ascii="仿宋_GB2312" w:hAnsi="仿宋_GB2312" w:cs="仿宋_GB2312"/>
          <w:sz w:val="32"/>
          <w:szCs w:val="32"/>
          <w:lang w:eastAsia="zh-CN"/>
        </w:rPr>
        <w:t>，保障农垦企业职工老有所依</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君山殡仪馆投入使用，推行惠民、绿色、文明殡葬。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这一年，我们从严从细防风险、保稳定，社会和谐在互促共进中展现新气象。</w:t>
      </w:r>
      <w:r>
        <w:rPr>
          <w:rFonts w:hint="eastAsia" w:ascii="仿宋_GB2312" w:hAnsi="仿宋_GB2312" w:eastAsia="仿宋_GB2312" w:cs="仿宋_GB2312"/>
          <w:b/>
          <w:bCs/>
          <w:sz w:val="32"/>
          <w:szCs w:val="32"/>
        </w:rPr>
        <w:t>一是基层治理有效推进。</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个网格，形成网格化管理的基层治理体系。推选583名村（居民）代表，结对6892户村（居）民，收集民情问题373个，其中，现场解决248个、提交镇级解决7个。同时，大力推行“群英断是非”工作法，其中六门闸社区打造特色“邻舍讲事”</w:t>
      </w:r>
      <w:r>
        <w:rPr>
          <w:rFonts w:hint="eastAsia" w:ascii="仿宋_GB2312" w:hAnsi="仿宋_GB2312" w:eastAsia="仿宋_GB2312" w:cs="仿宋_GB2312"/>
          <w:sz w:val="32"/>
          <w:szCs w:val="32"/>
          <w:lang w:eastAsia="zh-CN"/>
        </w:rPr>
        <w:t>“代表工作日”</w:t>
      </w:r>
      <w:r>
        <w:rPr>
          <w:rFonts w:hint="eastAsia" w:ascii="仿宋_GB2312" w:hAnsi="仿宋_GB2312" w:eastAsia="仿宋_GB2312" w:cs="仿宋_GB2312"/>
          <w:sz w:val="32"/>
          <w:szCs w:val="32"/>
        </w:rPr>
        <w:t>模式化解群众纠纷。全镇运用“群英断是非”工作法解决群众问题104件。加大邪教人员教育转化力度，重点打击整治电信诈骗和养老诈骗违法行为，成功劝返缅北高危人员5人，群众安全感满意度稳步提升。</w:t>
      </w:r>
      <w:r>
        <w:rPr>
          <w:rFonts w:hint="eastAsia" w:ascii="仿宋_GB2312" w:hAnsi="仿宋_GB2312" w:eastAsia="仿宋_GB2312" w:cs="仿宋_GB2312"/>
          <w:b/>
          <w:bCs/>
          <w:sz w:val="32"/>
          <w:szCs w:val="32"/>
        </w:rPr>
        <w:t>二是纠纷调解常抓不懈。</w:t>
      </w:r>
      <w:r>
        <w:rPr>
          <w:rFonts w:hint="eastAsia" w:ascii="仿宋_GB2312" w:hAnsi="仿宋_GB2312" w:eastAsia="仿宋_GB2312" w:cs="仿宋_GB2312"/>
          <w:sz w:val="32"/>
          <w:szCs w:val="32"/>
        </w:rPr>
        <w:t>持续开展信访治理专项行动，化解矛盾纠纷100余起，重点信访人（群）52件，化解积案10件。紧紧围绕更高水平“平安</w:t>
      </w:r>
      <w:r>
        <w:rPr>
          <w:rFonts w:hint="eastAsia" w:ascii="仿宋_GB2312" w:hAnsi="仿宋_GB2312" w:eastAsia="仿宋_GB2312" w:cs="仿宋_GB2312"/>
          <w:sz w:val="32"/>
          <w:szCs w:val="32"/>
          <w:lang w:eastAsia="zh-CN"/>
        </w:rPr>
        <w:t>钱粮湖</w:t>
      </w:r>
      <w:r>
        <w:rPr>
          <w:rFonts w:hint="eastAsia" w:ascii="仿宋_GB2312" w:hAnsi="仿宋_GB2312" w:eastAsia="仿宋_GB2312" w:cs="仿宋_GB2312"/>
          <w:sz w:val="32"/>
          <w:szCs w:val="32"/>
        </w:rPr>
        <w:t>”建设目标，广泛动员群众积极参与平安建设，营造浓厚平安创建宣传氛围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综治民调工作全市排名前列。</w:t>
      </w:r>
      <w:r>
        <w:rPr>
          <w:rFonts w:hint="eastAsia" w:ascii="仿宋_GB2312" w:hAnsi="仿宋_GB2312" w:eastAsia="仿宋_GB2312" w:cs="仿宋_GB2312"/>
          <w:b/>
          <w:bCs/>
          <w:sz w:val="32"/>
          <w:szCs w:val="32"/>
        </w:rPr>
        <w:t>三是安全防线紧盯不放。</w:t>
      </w:r>
      <w:r>
        <w:rPr>
          <w:rFonts w:hint="eastAsia" w:ascii="仿宋_GB2312" w:hAnsi="仿宋_GB2312" w:eastAsia="仿宋_GB2312" w:cs="仿宋_GB2312"/>
          <w:sz w:val="32"/>
          <w:szCs w:val="32"/>
        </w:rPr>
        <w:t>牢固树立安全发展理念，压实安全生产责任。结合“两项集中攻坚”，全面开展安全生产风险隐患“大排查大管控大整治”，排查整治安全隐患11处、安装防护栏200余米、减速带20余米，设置警示标牌12块，整改桥梁破损、道路塌方8处。完成燃气安全专项整治行动，对全镇90余家餐饮企业及30余家夜宵、流动摊贩进行管道、气瓶、报警装置全面检查</w:t>
      </w:r>
      <w:r>
        <w:rPr>
          <w:rFonts w:hint="eastAsia" w:ascii="仿宋_GB2312" w:hAnsi="仿宋_GB2312" w:eastAsia="仿宋_GB2312" w:cs="仿宋_GB2312"/>
          <w:sz w:val="32"/>
          <w:szCs w:val="32"/>
          <w:lang w:eastAsia="zh-CN"/>
        </w:rPr>
        <w:t>。完善食品安全“两责”网上平台建设，与8名C级包保干部及42名D级包保干部签订承诺书并进行食品安全培训。紧盯交通安全，出动执法、劝导人员1200人次，累计查获摩托车、电动车不带头盔683起，打击营运非法非标车辆25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rPr>
        <w:t>这一年，我们持之以恒转作风、提效能，自身建设在担当作为中得到新淬炼</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一是政治建设不断加强。</w:t>
      </w:r>
      <w:r>
        <w:rPr>
          <w:rFonts w:hint="eastAsia" w:ascii="仿宋_GB2312" w:hAnsi="仿宋_GB2312" w:eastAsia="仿宋_GB2312" w:cs="仿宋_GB2312"/>
          <w:sz w:val="32"/>
          <w:szCs w:val="32"/>
        </w:rPr>
        <w:t>把政治建设摆在首位，深入学习贯彻习近平新时代中国特色社会主义思想和党的二十大精神，全年开展主题教育和理论中心组学习24次，轮训党员千余人次，引导全体党员干部坚定捍卫“两个确立”、坚决做到“两个维护”。</w:t>
      </w:r>
      <w:r>
        <w:rPr>
          <w:rFonts w:hint="eastAsia" w:ascii="仿宋_GB2312" w:hAnsi="仿宋_GB2312" w:eastAsia="仿宋_GB2312" w:cs="仿宋_GB2312"/>
          <w:b/>
          <w:bCs/>
          <w:sz w:val="32"/>
          <w:szCs w:val="32"/>
        </w:rPr>
        <w:t>二是法治建设不断提升。</w:t>
      </w:r>
      <w:r>
        <w:rPr>
          <w:rFonts w:hint="eastAsia" w:ascii="仿宋_GB2312" w:hAnsi="仿宋_GB2312" w:eastAsia="仿宋_GB2312" w:cs="仿宋_GB2312"/>
          <w:sz w:val="32"/>
          <w:szCs w:val="32"/>
        </w:rPr>
        <w:t>全面加强法治政府建设，严格落实“三重一大”决策程序，强化政务公开。坚持依法行政，牢固树立法治意识，自觉接受人大依法监督</w:t>
      </w:r>
      <w:r>
        <w:rPr>
          <w:rFonts w:hint="eastAsia" w:ascii="仿宋_GB2312" w:hAnsi="仿宋_GB2312" w:eastAsia="仿宋_GB2312" w:cs="仿宋_GB2312"/>
          <w:sz w:val="32"/>
          <w:szCs w:val="32"/>
          <w:lang w:val="en-US" w:eastAsia="zh-CN"/>
        </w:rPr>
        <w:t>15次</w:t>
      </w:r>
      <w:r>
        <w:rPr>
          <w:rFonts w:hint="eastAsia" w:ascii="仿宋_GB2312" w:hAnsi="仿宋_GB2312" w:eastAsia="仿宋_GB2312" w:cs="仿宋_GB2312"/>
          <w:sz w:val="32"/>
          <w:szCs w:val="32"/>
        </w:rPr>
        <w:t>和政协民主监督</w:t>
      </w:r>
      <w:r>
        <w:rPr>
          <w:rFonts w:hint="eastAsia" w:ascii="仿宋_GB2312" w:hAnsi="仿宋_GB2312" w:eastAsia="仿宋_GB2312" w:cs="仿宋_GB2312"/>
          <w:sz w:val="32"/>
          <w:szCs w:val="32"/>
          <w:lang w:val="en-US" w:eastAsia="zh-CN"/>
        </w:rPr>
        <w:t>8次</w:t>
      </w:r>
      <w:r>
        <w:rPr>
          <w:rFonts w:hint="eastAsia" w:ascii="仿宋_GB2312" w:hAnsi="仿宋_GB2312" w:eastAsia="仿宋_GB2312" w:cs="仿宋_GB2312"/>
          <w:sz w:val="32"/>
          <w:szCs w:val="32"/>
        </w:rPr>
        <w:t>。提升政务服务水平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积极回应群众诉求</w:t>
      </w:r>
      <w:r>
        <w:rPr>
          <w:rFonts w:hint="eastAsia" w:ascii="仿宋_GB2312" w:hAnsi="仿宋_GB2312" w:eastAsia="仿宋_GB2312" w:cs="仿宋_GB2312"/>
          <w:sz w:val="32"/>
          <w:szCs w:val="32"/>
          <w:lang w:eastAsia="zh-CN"/>
        </w:rPr>
        <w:t>，便民大厅可办理计生、民政、社保、医保、天然气缴费等65项事务，</w:t>
      </w:r>
      <w:r>
        <w:rPr>
          <w:rFonts w:hint="eastAsia" w:ascii="仿宋_GB2312" w:hAnsi="仿宋_GB2312" w:eastAsia="仿宋_GB2312" w:cs="仿宋_GB2312"/>
          <w:sz w:val="32"/>
          <w:szCs w:val="32"/>
        </w:rPr>
        <w:t>办理群众各类事项4633件，接待群众5600余次。村级“帮代办”事项达1900余件。</w:t>
      </w:r>
      <w:r>
        <w:rPr>
          <w:rFonts w:hint="eastAsia" w:ascii="仿宋_GB2312" w:hAnsi="仿宋_GB2312" w:eastAsia="仿宋_GB2312" w:cs="仿宋_GB2312"/>
          <w:b/>
          <w:bCs/>
          <w:sz w:val="32"/>
          <w:szCs w:val="32"/>
        </w:rPr>
        <w:t>三是作风建设不断改进。</w:t>
      </w:r>
      <w:r>
        <w:rPr>
          <w:rFonts w:hint="eastAsia" w:ascii="仿宋_GB2312" w:hAnsi="仿宋_GB2312" w:eastAsia="仿宋_GB2312" w:cs="仿宋_GB2312"/>
          <w:sz w:val="32"/>
          <w:szCs w:val="32"/>
        </w:rPr>
        <w:t>结合三湘护农、未巡先改、纠“四风”扬“五敢”提“六气”作风建设年、两带头五整治等专项行动，进一步加强干部队伍能力和作风建设。坚持主动“走出去”，组织干部前往</w:t>
      </w:r>
      <w:r>
        <w:rPr>
          <w:rFonts w:hint="eastAsia" w:ascii="仿宋_GB2312" w:hAnsi="仿宋_GB2312" w:eastAsia="仿宋_GB2312" w:cs="仿宋_GB2312"/>
          <w:sz w:val="32"/>
          <w:szCs w:val="32"/>
          <w:lang w:eastAsia="zh-CN"/>
        </w:rPr>
        <w:t>长沙</w:t>
      </w:r>
      <w:r>
        <w:rPr>
          <w:rFonts w:hint="eastAsia" w:ascii="仿宋_GB2312" w:hAnsi="仿宋_GB2312" w:eastAsia="仿宋_GB2312" w:cs="仿宋_GB2312"/>
          <w:sz w:val="32"/>
          <w:szCs w:val="32"/>
        </w:rPr>
        <w:t>等</w:t>
      </w:r>
      <w:r>
        <w:rPr>
          <w:rFonts w:hint="eastAsia" w:ascii="仿宋_GB2312" w:hAnsi="仿宋_GB2312" w:cs="仿宋_GB2312"/>
          <w:sz w:val="32"/>
          <w:szCs w:val="32"/>
          <w:lang w:eastAsia="zh-CN"/>
        </w:rPr>
        <w:t>地</w:t>
      </w:r>
      <w:r>
        <w:rPr>
          <w:rFonts w:hint="eastAsia" w:ascii="仿宋_GB2312" w:hAnsi="仿宋_GB2312" w:eastAsia="仿宋_GB2312" w:cs="仿宋_GB2312"/>
          <w:sz w:val="32"/>
          <w:szCs w:val="32"/>
        </w:rPr>
        <w:t>实地学习先进经验，增强实战能力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积极“请进来”，邀请市、区党校教师来镇传经送宝，不断提升工作标准、提高工作质效。认真贯彻中央八项规定及实施细则精神，持续压减“三公”经费，廉政建设实现常态化、规范化。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rPr>
      </w:pPr>
      <w:r>
        <w:rPr>
          <w:rFonts w:hint="eastAsia" w:ascii="仿宋_GB2312" w:hAnsi="仿宋_GB2312" w:eastAsia="仿宋_GB2312" w:cs="仿宋_GB2312"/>
          <w:color w:val="auto"/>
          <w:sz w:val="32"/>
          <w:szCs w:val="32"/>
          <w:lang w:val="en-US" w:eastAsia="zh-CN"/>
        </w:rPr>
        <w:t>在总结成绩的同时，我们也应当清醒地认识到，在全镇发展进程中还存在一些问题和挑战，主要有：</w:t>
      </w:r>
      <w:r>
        <w:rPr>
          <w:rFonts w:hint="eastAsia" w:ascii="仿宋_GB2312" w:hAnsi="仿宋_GB2312" w:eastAsia="仿宋_GB2312" w:cs="仿宋_GB2312"/>
          <w:b/>
          <w:bCs/>
          <w:color w:val="auto"/>
          <w:sz w:val="32"/>
          <w:szCs w:val="32"/>
          <w:lang w:val="en-US" w:eastAsia="zh-CN"/>
        </w:rPr>
        <w:t>一是经济发展还有差距。</w:t>
      </w:r>
      <w:r>
        <w:rPr>
          <w:rFonts w:hint="eastAsia" w:ascii="仿宋_GB2312" w:hAnsi="仿宋_GB2312" w:eastAsia="仿宋_GB2312" w:cs="仿宋_GB2312"/>
          <w:color w:val="auto"/>
          <w:sz w:val="32"/>
          <w:szCs w:val="32"/>
          <w:lang w:val="en-US" w:eastAsia="zh-CN"/>
        </w:rPr>
        <w:t>产业层次总体偏低，结构不够合理，缺少战略性新兴产业和带动性强的龙头企业，容易受外部环境影响和冲击。全镇以</w:t>
      </w:r>
      <w:r>
        <w:rPr>
          <w:rFonts w:hint="eastAsia" w:ascii="仿宋_GB2312" w:hAnsi="仿宋_GB2312" w:cs="仿宋_GB2312"/>
          <w:color w:val="auto"/>
          <w:sz w:val="32"/>
          <w:szCs w:val="32"/>
          <w:lang w:val="en-US" w:eastAsia="zh-CN"/>
        </w:rPr>
        <w:t>农</w:t>
      </w:r>
      <w:r>
        <w:rPr>
          <w:rFonts w:hint="eastAsia" w:ascii="仿宋_GB2312" w:hAnsi="仿宋_GB2312" w:eastAsia="仿宋_GB2312" w:cs="仿宋_GB2312"/>
          <w:color w:val="auto"/>
          <w:sz w:val="32"/>
          <w:szCs w:val="32"/>
          <w:lang w:val="en-US" w:eastAsia="zh-CN"/>
        </w:rPr>
        <w:t>业为主的经济仍面临着较大的下行压力。</w:t>
      </w:r>
      <w:r>
        <w:rPr>
          <w:rFonts w:hint="eastAsia" w:ascii="仿宋_GB2312" w:hAnsi="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是信访形势依然严峻。</w:t>
      </w:r>
      <w:r>
        <w:rPr>
          <w:rFonts w:hint="eastAsia" w:ascii="仿宋_GB2312" w:hAnsi="仿宋_GB2312" w:eastAsia="仿宋_GB2312" w:cs="仿宋_GB2312"/>
          <w:color w:val="auto"/>
          <w:sz w:val="32"/>
          <w:szCs w:val="32"/>
          <w:lang w:val="en-US" w:eastAsia="zh-CN"/>
        </w:rPr>
        <w:t>经过镇村干部的努力，大部分信访积案、信访问题有效化解，但仍有一些</w:t>
      </w:r>
      <w:r>
        <w:rPr>
          <w:rFonts w:hint="eastAsia" w:ascii="仿宋_GB2312" w:hAnsi="仿宋_GB2312" w:cs="仿宋_GB2312"/>
          <w:color w:val="auto"/>
          <w:sz w:val="32"/>
          <w:szCs w:val="32"/>
          <w:lang w:val="en-US" w:eastAsia="zh-CN"/>
        </w:rPr>
        <w:t>历史遗留和新增问题</w:t>
      </w:r>
      <w:r>
        <w:rPr>
          <w:rFonts w:hint="eastAsia" w:ascii="仿宋_GB2312" w:hAnsi="仿宋_GB2312" w:eastAsia="仿宋_GB2312" w:cs="仿宋_GB2312"/>
          <w:color w:val="auto"/>
          <w:sz w:val="32"/>
          <w:szCs w:val="32"/>
          <w:lang w:val="en-US" w:eastAsia="zh-CN"/>
        </w:rPr>
        <w:t>没有彻底得到解决，仍存在潜在的不稳定因素，需要引起高度重视。</w:t>
      </w:r>
      <w:r>
        <w:rPr>
          <w:rFonts w:hint="eastAsia" w:ascii="仿宋_GB2312" w:hAnsi="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en-US" w:eastAsia="zh-CN"/>
        </w:rPr>
        <w:t>是公共服务水平仍需提升。</w:t>
      </w:r>
      <w:r>
        <w:rPr>
          <w:rFonts w:hint="eastAsia" w:ascii="仿宋_GB2312" w:hAnsi="仿宋_GB2312" w:eastAsia="仿宋_GB2312" w:cs="仿宋_GB2312"/>
          <w:color w:val="auto"/>
          <w:sz w:val="32"/>
          <w:szCs w:val="32"/>
          <w:lang w:val="en-US" w:eastAsia="zh-CN"/>
        </w:rPr>
        <w:t>当前，新形势对我们提出了更多更高的要求，如何进一步改善民生，提升治理水平，提高群众幸福指数，是需要我们深入思考实践的课题。</w:t>
      </w:r>
      <w:r>
        <w:rPr>
          <w:rFonts w:hint="eastAsia" w:ascii="仿宋_GB2312" w:hAnsi="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是政府自身建设有待加强。</w:t>
      </w:r>
      <w:r>
        <w:rPr>
          <w:rFonts w:hint="eastAsia" w:ascii="仿宋_GB2312" w:hAnsi="仿宋_GB2312" w:eastAsia="仿宋_GB2312" w:cs="仿宋_GB2312"/>
          <w:color w:val="auto"/>
          <w:sz w:val="32"/>
          <w:szCs w:val="32"/>
          <w:lang w:val="en-US" w:eastAsia="zh-CN"/>
        </w:rPr>
        <w:t>部分干部工作作风不实、标准不严、效率不高，重留痕、轻实绩，影响了工作开展。对此，我们将面对问题和挑战，勇于担当，恪尽职守，进一步增强忧患意识和担当意识，下大力气解决这些问题，决不辜负人民期待！</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w:t>
      </w: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存在的问题：</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预算编制以及预算执行不</w:t>
      </w:r>
      <w:r>
        <w:rPr>
          <w:rFonts w:hint="eastAsia" w:ascii="Times New Roman" w:hAnsi="Times New Roman" w:eastAsia="仿宋_GB2312" w:cs="Times New Roman"/>
          <w:sz w:val="32"/>
          <w:szCs w:val="32"/>
          <w:highlight w:val="none"/>
          <w:lang w:eastAsia="zh-CN"/>
        </w:rPr>
        <w:t>够</w:t>
      </w:r>
      <w:r>
        <w:rPr>
          <w:rFonts w:hint="default" w:ascii="Times New Roman" w:hAnsi="Times New Roman" w:eastAsia="仿宋_GB2312" w:cs="Times New Roman"/>
          <w:sz w:val="32"/>
          <w:szCs w:val="32"/>
          <w:highlight w:val="none"/>
        </w:rPr>
        <w:t>合理。预算编制与实际支出存在不小的差异，预算不足，难以满足需要。</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预算绩效管理工作贯穿全年，与各个股室、站所业息息相关，由于对预算绩效管理的全面性和重要性缺乏深入的了解，统揽全局的意识有所欠缺，导致预算绩效管理工作在推动过程中虽能够完成工作任务，但工作质量难以实现大幅度提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根据预算编制规则，预算资金缩减，公用经费</w:t>
      </w:r>
      <w:r>
        <w:rPr>
          <w:rFonts w:hint="eastAsia" w:ascii="Times New Roman" w:hAnsi="Times New Roman" w:eastAsia="仿宋_GB2312" w:cs="Times New Roman"/>
          <w:sz w:val="32"/>
          <w:szCs w:val="32"/>
          <w:highlight w:val="none"/>
          <w:lang w:eastAsia="zh-CN"/>
        </w:rPr>
        <w:t>和专项资金</w:t>
      </w:r>
      <w:r>
        <w:rPr>
          <w:rFonts w:hint="default" w:ascii="Times New Roman" w:hAnsi="Times New Roman" w:eastAsia="仿宋_GB2312" w:cs="Times New Roman"/>
          <w:sz w:val="32"/>
          <w:szCs w:val="32"/>
          <w:highlight w:val="none"/>
        </w:rPr>
        <w:t>不足，难以满足</w:t>
      </w:r>
      <w:r>
        <w:rPr>
          <w:rFonts w:hint="eastAsia" w:ascii="Times New Roman" w:hAnsi="Times New Roman" w:eastAsia="仿宋_GB2312" w:cs="Times New Roman"/>
          <w:sz w:val="32"/>
          <w:szCs w:val="32"/>
          <w:highlight w:val="none"/>
          <w:lang w:eastAsia="zh-CN"/>
        </w:rPr>
        <w:t>发展需要</w:t>
      </w:r>
      <w:r>
        <w:rPr>
          <w:rFonts w:hint="default" w:ascii="Times New Roman" w:hAnsi="Times New Roman" w:eastAsia="仿宋_GB2312" w:cs="Times New Roman"/>
          <w:sz w:val="32"/>
          <w:szCs w:val="32"/>
          <w:highlight w:val="none"/>
        </w:rPr>
        <w:t>。</w:t>
      </w:r>
    </w:p>
    <w:p>
      <w:pPr>
        <w:keepNext w:val="0"/>
        <w:keepLines w:val="0"/>
        <w:pageBreakBefore w:val="0"/>
        <w:widowControl/>
        <w:numPr>
          <w:ilvl w:val="0"/>
          <w:numId w:val="8"/>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4"/>
        <w:numPr>
          <w:ilvl w:val="0"/>
          <w:numId w:val="0"/>
        </w:numPr>
        <w:rPr>
          <w:rFonts w:hint="eastAsia" w:ascii="Times New Roman" w:hAnsi="Times New Roman" w:eastAsia="仿宋_GB2312" w:cs="Times New Roman"/>
          <w:kern w:val="0"/>
          <w:sz w:val="32"/>
          <w:szCs w:val="32"/>
          <w:highlight w:val="none"/>
          <w:lang w:val="en-US" w:eastAsia="zh-CN" w:bidi="ar-SA"/>
        </w:rPr>
      </w:pPr>
      <w:r>
        <w:rPr>
          <w:rFonts w:hint="eastAsia"/>
          <w:lang w:eastAsia="zh-CN"/>
        </w:rPr>
        <w:t>　　</w:t>
      </w:r>
      <w:r>
        <w:rPr>
          <w:rFonts w:hint="eastAsia" w:ascii="Times New Roman" w:hAnsi="Times New Roman" w:eastAsia="仿宋_GB2312" w:cs="Times New Roman"/>
          <w:kern w:val="0"/>
          <w:sz w:val="32"/>
          <w:szCs w:val="32"/>
          <w:highlight w:val="none"/>
          <w:lang w:val="en-US" w:eastAsia="zh-CN" w:bidi="ar-SA"/>
        </w:rPr>
        <w:t>1、按照预算规定的项目和用途严格财务审核，经费支出严格按预算规定项目的财务支出内容进行财务核算，在预算金额内严格控制费用的支出。</w:t>
      </w:r>
    </w:p>
    <w:p>
      <w:pPr>
        <w:pStyle w:val="4"/>
        <w:numPr>
          <w:ilvl w:val="0"/>
          <w:numId w:val="0"/>
        </w:numPr>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2、预算财务分析常态化，定期做好预算支出财务分析，做好单位整体支出预算评价工作。</w:t>
      </w:r>
    </w:p>
    <w:p>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pStyle w:val="3"/>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pStyle w:val="3"/>
        <w:rPr>
          <w:rFonts w:hint="eastAsia" w:ascii="Times New Roman" w:hAnsi="Times New Roman" w:eastAsia="仿宋_GB2312" w:cs="Times New Roman"/>
          <w:kern w:val="0"/>
          <w:sz w:val="32"/>
          <w:szCs w:val="32"/>
          <w:lang w:val="en-US" w:eastAsia="zh-CN" w:bidi="ar-SA"/>
        </w:rPr>
      </w:pPr>
    </w:p>
    <w:p>
      <w:pPr>
        <w:rPr>
          <w:rFonts w:hint="eastAsia" w:ascii="Times New Roman" w:hAnsi="Times New Roman" w:eastAsia="仿宋_GB2312" w:cs="Times New Roman"/>
          <w:kern w:val="0"/>
          <w:sz w:val="32"/>
          <w:szCs w:val="32"/>
          <w:lang w:val="en-US" w:eastAsia="zh-CN" w:bidi="ar-SA"/>
        </w:rPr>
      </w:pPr>
    </w:p>
    <w:p>
      <w:pPr>
        <w:pStyle w:val="2"/>
        <w:rPr>
          <w:rFonts w:hint="eastAsia" w:ascii="Times New Roman" w:hAnsi="Times New Roman" w:eastAsia="仿宋_GB2312" w:cs="Times New Roman"/>
          <w:kern w:val="0"/>
          <w:sz w:val="32"/>
          <w:szCs w:val="32"/>
          <w:lang w:val="en-US" w:eastAsia="zh-CN" w:bidi="ar-SA"/>
        </w:rPr>
      </w:pPr>
    </w:p>
    <w:p>
      <w:pPr>
        <w:pStyle w:val="3"/>
        <w:rPr>
          <w:rFonts w:hint="eastAsia" w:ascii="Times New Roman" w:hAnsi="Times New Roman" w:eastAsia="仿宋_GB2312" w:cs="Times New Roman"/>
          <w:kern w:val="0"/>
          <w:sz w:val="32"/>
          <w:szCs w:val="32"/>
          <w:lang w:val="en-US" w:eastAsia="zh-CN" w:bidi="ar-SA"/>
        </w:rPr>
      </w:pPr>
    </w:p>
    <w:p>
      <w:pPr>
        <w:rPr>
          <w:rFonts w:hint="eastAsia"/>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103</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83</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80.58%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47.51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46.53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46.53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41.25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6.26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5.63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5.63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3982.31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2915.04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2915.04</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372.51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197.05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197.05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133.62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92.02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92.02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25.89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17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15.01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14.39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373.33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373.33</w:t>
            </w:r>
            <w:r>
              <w:rPr>
                <w:rFonts w:hint="eastAsia" w:ascii="仿宋_GB2312" w:hAnsi="仿宋_GB2312" w:eastAsia="仿宋_GB2312" w:cs="仿宋_GB2312"/>
                <w:sz w:val="20"/>
                <w:szCs w:val="20"/>
                <w:highlight w:val="none"/>
                <w:lang w:val="en-US" w:eastAsia="zh-CN"/>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1036.41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1036.41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单位负责人签字：</w:t>
      </w:r>
      <w:r>
        <w:rPr>
          <w:rFonts w:hint="default" w:ascii="Times New Roman" w:hAnsi="Times New Roman" w:eastAsia="仿宋_GB2312" w:cs="Times New Roman"/>
          <w:sz w:val="20"/>
          <w:szCs w:val="20"/>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1034"/>
        <w:gridCol w:w="1449"/>
        <w:gridCol w:w="1605"/>
        <w:gridCol w:w="1350"/>
        <w:gridCol w:w="675"/>
        <w:gridCol w:w="705"/>
        <w:gridCol w:w="1101"/>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君山区钱粮湖镇人民政府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44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6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48"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4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2958.05</w:t>
            </w:r>
          </w:p>
        </w:tc>
        <w:tc>
          <w:tcPr>
            <w:tcW w:w="16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5677.41</w:t>
            </w:r>
          </w:p>
        </w:tc>
        <w:tc>
          <w:tcPr>
            <w:tcW w:w="135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5677.41</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3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423"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其中：一般公共预算：</w:t>
            </w:r>
            <w:r>
              <w:rPr>
                <w:rFonts w:hint="eastAsia" w:ascii="仿宋_GB2312" w:hAnsi="仿宋_GB2312" w:eastAsia="仿宋_GB2312" w:cs="仿宋_GB2312"/>
                <w:sz w:val="20"/>
                <w:szCs w:val="20"/>
                <w:highlight w:val="none"/>
                <w:lang w:val="en-US" w:eastAsia="zh-CN"/>
              </w:rPr>
              <w:t>4904.11</w:t>
            </w:r>
          </w:p>
        </w:tc>
        <w:tc>
          <w:tcPr>
            <w:tcW w:w="383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2762.37</w:t>
            </w:r>
          </w:p>
        </w:tc>
      </w:tr>
      <w:tr>
        <w:tblPrEx>
          <w:tblCellMar>
            <w:top w:w="0" w:type="dxa"/>
            <w:left w:w="108" w:type="dxa"/>
            <w:bottom w:w="0" w:type="dxa"/>
            <w:right w:w="108" w:type="dxa"/>
          </w:tblCellMar>
        </w:tblPrEx>
        <w:trPr>
          <w:trHeight w:val="441"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5.24</w:t>
            </w:r>
          </w:p>
        </w:tc>
        <w:tc>
          <w:tcPr>
            <w:tcW w:w="383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2915.04</w:t>
            </w:r>
          </w:p>
        </w:tc>
      </w:tr>
      <w:tr>
        <w:tblPrEx>
          <w:tblCellMar>
            <w:top w:w="0" w:type="dxa"/>
            <w:left w:w="108" w:type="dxa"/>
            <w:bottom w:w="0" w:type="dxa"/>
            <w:right w:w="108" w:type="dxa"/>
          </w:tblCellMar>
        </w:tblPrEx>
        <w:trPr>
          <w:trHeight w:val="42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3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4"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768.06</w:t>
            </w:r>
          </w:p>
        </w:tc>
        <w:tc>
          <w:tcPr>
            <w:tcW w:w="383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31"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6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3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297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强化财政资金使用情况的预算约束和监管，最大限度地降低行政成本，提高财政资金的使用效益。重点抓产业发展、项目建设、人居环境改善、社会保障等工作，实现壮大集体经济、巩固脱贫成效、保障民生福祉，确保社会稳定的目标。</w:t>
            </w:r>
            <w:r>
              <w:rPr>
                <w:rFonts w:hint="eastAsia" w:ascii="仿宋_GB2312" w:hAnsi="仿宋_GB2312" w:eastAsia="仿宋_GB2312" w:cs="仿宋_GB2312"/>
                <w:color w:val="000000"/>
                <w:sz w:val="20"/>
                <w:szCs w:val="20"/>
                <w:highlight w:val="none"/>
              </w:rPr>
              <w:t>　　</w:t>
            </w:r>
          </w:p>
        </w:tc>
        <w:tc>
          <w:tcPr>
            <w:tcW w:w="3831" w:type="dxa"/>
            <w:gridSpan w:val="4"/>
            <w:tcBorders>
              <w:top w:val="single" w:color="auto" w:sz="4" w:space="0"/>
              <w:left w:val="nil"/>
              <w:bottom w:val="single" w:color="auto" w:sz="4" w:space="0"/>
              <w:right w:val="single" w:color="auto" w:sz="4" w:space="0"/>
            </w:tcBorders>
            <w:noWrap w:val="0"/>
            <w:vAlign w:val="center"/>
          </w:tcPr>
          <w:p>
            <w:pPr>
              <w:pStyle w:val="2"/>
              <w:bidi w:val="0"/>
              <w:rPr>
                <w:rFonts w:hint="eastAsia"/>
              </w:rPr>
            </w:pPr>
            <w:r>
              <w:rPr>
                <w:rFonts w:hint="eastAsia" w:ascii="仿宋_GB2312" w:hAnsi="仿宋_GB2312" w:eastAsia="仿宋_GB2312" w:cs="仿宋_GB2312"/>
                <w:color w:val="000000"/>
                <w:kern w:val="0"/>
                <w:sz w:val="20"/>
                <w:szCs w:val="20"/>
                <w:highlight w:val="none"/>
                <w:lang w:val="en-US" w:eastAsia="zh-CN" w:bidi="ar-SA"/>
              </w:rPr>
              <w:t>预算执行情况较好，支出把关较严，量力而行，量财办事，强化财政资金使用情况的预算约束和监管，最大限度地降低行政成本，提高财政资金的使用效益。全年聚焦打造乡村振兴和农文旅体融合发展两个样板，较好完成了全年目标任务，主攻产业发展、民生事业、社会稳定等重点工作，转作风、抓落实，高质量完成了各项任务，取得了经济社会各项事业新的发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实现地区生产总值</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25.93亿元</w:t>
            </w:r>
          </w:p>
        </w:tc>
        <w:tc>
          <w:tcPr>
            <w:tcW w:w="13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25.93亿元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完成固定资产投资</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22.35亿元</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22.35亿元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农民人均可支配收入</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25770元</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25770元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完成粮食播种面积</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14.5万亩</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14.675万亩</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巡（河、田、林）次数</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50次</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60次</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申报项目合规率</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lang w:val="en-US" w:eastAsia="zh-CN"/>
              </w:rPr>
              <w:t>%</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1"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民生实事完成率</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Arial" w:hAnsi="Arial" w:eastAsia="仿宋_GB2312" w:cs="Arial"/>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安全生产保障率</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6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资金拨付及时率</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支出控制在预算内</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宋体" w:hAnsi="宋体" w:eastAsia="宋体" w:cs="宋体"/>
                <w:sz w:val="20"/>
                <w:szCs w:val="20"/>
                <w:highlight w:val="none"/>
              </w:rPr>
              <w:t>≦</w:t>
            </w:r>
            <w:r>
              <w:rPr>
                <w:rFonts w:hint="eastAsia" w:ascii="仿宋_GB2312" w:hAnsi="仿宋_GB2312" w:eastAsia="仿宋_GB2312" w:cs="仿宋_GB2312"/>
                <w:sz w:val="20"/>
                <w:szCs w:val="20"/>
                <w:highlight w:val="none"/>
                <w:lang w:eastAsia="zh-CN"/>
              </w:rPr>
              <w:t>2649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52</w:t>
            </w:r>
            <w:r>
              <w:rPr>
                <w:rFonts w:hint="eastAsia" w:ascii="仿宋_GB2312" w:hAnsi="仿宋_GB2312" w:eastAsia="仿宋_GB2312" w:cs="仿宋_GB2312"/>
                <w:color w:val="000000"/>
                <w:sz w:val="20"/>
                <w:szCs w:val="20"/>
                <w:highlight w:val="none"/>
                <w:lang w:val="en-US" w:eastAsia="zh-CN"/>
              </w:rPr>
              <w:t>万元</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2649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52</w:t>
            </w:r>
            <w:r>
              <w:rPr>
                <w:rFonts w:hint="eastAsia" w:ascii="仿宋_GB2312" w:hAnsi="仿宋_GB2312" w:eastAsia="仿宋_GB2312" w:cs="仿宋_GB2312"/>
                <w:color w:val="000000"/>
                <w:sz w:val="20"/>
                <w:szCs w:val="20"/>
                <w:highlight w:val="none"/>
                <w:lang w:val="en-US" w:eastAsia="zh-CN"/>
              </w:rPr>
              <w:t>万元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群众收入增加</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社会和谐，群众幸福感增强</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6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环境明显改善</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74"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收入增加、民生改善、环境改善、社会稳定</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1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6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49" w:hRule="atLeast"/>
          <w:jc w:val="center"/>
        </w:trPr>
        <w:tc>
          <w:tcPr>
            <w:tcW w:w="759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单位负责人签字：</w:t>
      </w: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rPr>
          <w:rFonts w:hint="default" w:ascii="Times New Roman" w:hAnsi="Times New Roman" w:eastAsia="仿宋_GB2312" w:cs="Times New Roman"/>
          <w:sz w:val="20"/>
          <w:szCs w:val="20"/>
          <w:highlight w:val="none"/>
        </w:rPr>
      </w:pPr>
    </w:p>
    <w:p>
      <w:pPr>
        <w:pStyle w:val="2"/>
        <w:rPr>
          <w:rFonts w:hint="default" w:ascii="Times New Roman" w:hAnsi="Times New Roman" w:eastAsia="仿宋_GB2312" w:cs="Times New Roman"/>
          <w:sz w:val="20"/>
          <w:szCs w:val="20"/>
          <w:highlight w:val="none"/>
        </w:rPr>
      </w:pPr>
    </w:p>
    <w:p>
      <w:pPr>
        <w:pStyle w:val="3"/>
        <w:rPr>
          <w:rFonts w:hint="default" w:ascii="Times New Roman" w:hAnsi="Times New Roman" w:eastAsia="仿宋_GB2312" w:cs="Times New Roman"/>
          <w:sz w:val="20"/>
          <w:szCs w:val="20"/>
          <w:highlight w:val="none"/>
        </w:rPr>
      </w:pPr>
    </w:p>
    <w:p>
      <w:pPr>
        <w:widowControl/>
        <w:spacing w:line="600" w:lineRule="exact"/>
        <w:jc w:val="left"/>
        <w:rPr>
          <w:rFonts w:hint="default" w:ascii="Times New Roman" w:hAnsi="Times New Roman" w:eastAsia="黑体" w:cs="Times New Roman"/>
          <w:sz w:val="24"/>
          <w:szCs w:val="24"/>
          <w:highlight w:val="none"/>
          <w:lang w:val="en-US" w:eastAsia="zh-CN"/>
        </w:rPr>
      </w:pPr>
      <w:r>
        <w:rPr>
          <w:rFonts w:hint="eastAsia" w:ascii="黑体" w:hAnsi="黑体" w:eastAsia="黑体" w:cs="黑体"/>
          <w:sz w:val="24"/>
          <w:szCs w:val="24"/>
          <w:highlight w:val="none"/>
        </w:rPr>
        <w:t>附件</w:t>
      </w:r>
      <w:r>
        <w:rPr>
          <w:rFonts w:hint="eastAsia" w:ascii="黑体" w:hAnsi="黑体" w:eastAsia="黑体" w:cs="黑体"/>
          <w:sz w:val="24"/>
          <w:szCs w:val="24"/>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026" w:type="dxa"/>
        <w:jc w:val="center"/>
        <w:tblLayout w:type="autofit"/>
        <w:tblCellMar>
          <w:top w:w="0" w:type="dxa"/>
          <w:left w:w="108" w:type="dxa"/>
          <w:bottom w:w="0" w:type="dxa"/>
          <w:right w:w="108" w:type="dxa"/>
        </w:tblCellMar>
      </w:tblPr>
      <w:tblGrid>
        <w:gridCol w:w="1026"/>
        <w:gridCol w:w="1043"/>
        <w:gridCol w:w="1012"/>
        <w:gridCol w:w="1816"/>
        <w:gridCol w:w="1134"/>
        <w:gridCol w:w="1076"/>
        <w:gridCol w:w="620"/>
        <w:gridCol w:w="843"/>
        <w:gridCol w:w="1456"/>
      </w:tblGrid>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46"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乡镇转移支付</w:t>
            </w:r>
          </w:p>
        </w:tc>
      </w:tr>
      <w:tr>
        <w:tblPrEx>
          <w:tblCellMar>
            <w:top w:w="0" w:type="dxa"/>
            <w:left w:w="108" w:type="dxa"/>
            <w:bottom w:w="0" w:type="dxa"/>
            <w:right w:w="108" w:type="dxa"/>
          </w:tblCellMar>
        </w:tblPrEx>
        <w:trPr>
          <w:trHeight w:val="427"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岳阳市君山区人民政府</w:t>
            </w:r>
          </w:p>
        </w:tc>
        <w:tc>
          <w:tcPr>
            <w:tcW w:w="11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君山区钱粮湖镇人民政府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9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177.09</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177.09</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177.09</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177.09</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177.09</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177.09</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2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1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37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2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保障乡镇机关站所日常工作正常运转</w:t>
            </w:r>
          </w:p>
        </w:tc>
        <w:tc>
          <w:tcPr>
            <w:tcW w:w="421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镇机关站所正常运转，各项主要工作完成良好。</w:t>
            </w:r>
          </w:p>
        </w:tc>
      </w:tr>
      <w:tr>
        <w:tblPrEx>
          <w:tblCellMar>
            <w:top w:w="0" w:type="dxa"/>
            <w:left w:w="108" w:type="dxa"/>
            <w:bottom w:w="0" w:type="dxa"/>
            <w:right w:w="108" w:type="dxa"/>
          </w:tblCellMar>
        </w:tblPrEx>
        <w:trPr>
          <w:trHeight w:val="54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办公设备购置</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10万元</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11万元</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发放宣传资料</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val="en-US" w:eastAsia="zh-CN"/>
              </w:rPr>
              <w:t>0000份</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23000份</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4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镇机关正常运转率</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需要更进一步改善</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经费拨付合规率</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经费拨付及时性</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按进度拨付</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按进度拨付</w:t>
            </w:r>
            <w:r>
              <w:rPr>
                <w:rFonts w:hint="eastAsia" w:ascii="仿宋_GB2312" w:hAnsi="仿宋_GB2312" w:eastAsia="仿宋_GB2312" w:cs="仿宋_GB2312"/>
                <w:color w:val="000000"/>
                <w:sz w:val="20"/>
                <w:szCs w:val="20"/>
                <w:highlight w:val="none"/>
              </w:rPr>
              <w:t>　</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支出不超过预算金额</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default" w:ascii="Arial" w:hAnsi="Arial" w:eastAsia="仿宋_GB2312" w:cs="Arial"/>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177.09万元</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177.09万元</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促进镇域经济增长</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基础设施持续完善</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改善人居生态环境</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效果明显</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促进经济发展，社会和谐，环境改善</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1000" w:hanging="1000" w:hangingChars="5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7" w:hRule="atLeast"/>
          <w:jc w:val="center"/>
        </w:trPr>
        <w:tc>
          <w:tcPr>
            <w:tcW w:w="692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5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黑体" w:hAnsi="黑体" w:eastAsia="黑体" w:cs="黑体"/>
          <w:sz w:val="24"/>
          <w:szCs w:val="24"/>
          <w:highlight w:val="none"/>
          <w:lang w:val="en-US" w:eastAsia="zh-CN"/>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单位负责人签字：</w:t>
      </w:r>
      <w:r>
        <w:rPr>
          <w:rFonts w:hint="default" w:ascii="Times New Roman" w:hAnsi="Times New Roman" w:eastAsia="仿宋_GB2312" w:cs="Times New Roman"/>
          <w:sz w:val="20"/>
          <w:szCs w:val="20"/>
          <w:highlight w:val="none"/>
        </w:rPr>
        <w:br w:type="page"/>
      </w:r>
      <w:r>
        <w:rPr>
          <w:rFonts w:hint="eastAsia" w:ascii="黑体" w:hAnsi="黑体" w:eastAsia="黑体" w:cs="黑体"/>
          <w:sz w:val="24"/>
          <w:szCs w:val="24"/>
          <w:highlight w:val="none"/>
        </w:rPr>
        <w:t>附件</w:t>
      </w:r>
      <w:r>
        <w:rPr>
          <w:rFonts w:hint="eastAsia" w:ascii="黑体" w:hAnsi="黑体" w:eastAsia="黑体" w:cs="黑体"/>
          <w:sz w:val="24"/>
          <w:szCs w:val="24"/>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402"/>
        <w:gridCol w:w="1042"/>
        <w:gridCol w:w="1048"/>
        <w:gridCol w:w="828"/>
        <w:gridCol w:w="873"/>
        <w:gridCol w:w="1418"/>
      </w:tblGrid>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社区运转保障经费</w:t>
            </w:r>
          </w:p>
        </w:tc>
      </w:tr>
      <w:tr>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君山区钱粮湖镇人民政府</w:t>
            </w:r>
          </w:p>
        </w:tc>
        <w:tc>
          <w:tcPr>
            <w:tcW w:w="104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全镇</w:t>
            </w:r>
            <w:r>
              <w:rPr>
                <w:rFonts w:hint="eastAsia" w:ascii="仿宋_GB2312" w:hAnsi="仿宋_GB2312" w:eastAsia="仿宋_GB2312" w:cs="仿宋_GB2312"/>
                <w:color w:val="000000"/>
                <w:sz w:val="20"/>
                <w:szCs w:val="20"/>
                <w:highlight w:val="none"/>
                <w:lang w:val="en-US" w:eastAsia="zh-CN"/>
              </w:rPr>
              <w:t>7个社区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326</w:t>
            </w:r>
          </w:p>
        </w:tc>
        <w:tc>
          <w:tcPr>
            <w:tcW w:w="10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326</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326</w:t>
            </w:r>
          </w:p>
        </w:tc>
        <w:tc>
          <w:tcPr>
            <w:tcW w:w="10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326</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1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按时拨付社区组织运转经费，保障社区组织正常运转</w:t>
            </w:r>
            <w:r>
              <w:rPr>
                <w:rFonts w:hint="eastAsia" w:ascii="仿宋_GB2312" w:hAnsi="仿宋_GB2312" w:eastAsia="仿宋_GB2312" w:cs="仿宋_GB2312"/>
                <w:color w:val="000000"/>
                <w:sz w:val="20"/>
                <w:szCs w:val="20"/>
                <w:highlight w:val="none"/>
              </w:rPr>
              <w:t>　</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w:t>
            </w:r>
            <w:r>
              <w:rPr>
                <w:rFonts w:hint="eastAsia" w:ascii="仿宋_GB2312" w:hAnsi="仿宋_GB2312" w:eastAsia="仿宋_GB2312" w:cs="仿宋_GB2312"/>
                <w:color w:val="000000"/>
                <w:sz w:val="20"/>
                <w:szCs w:val="20"/>
                <w:highlight w:val="none"/>
                <w:lang w:val="en-US" w:eastAsia="zh-CN"/>
              </w:rPr>
              <w:t>社区</w:t>
            </w:r>
            <w:r>
              <w:rPr>
                <w:rFonts w:hint="eastAsia" w:ascii="仿宋_GB2312" w:hAnsi="仿宋_GB2312" w:eastAsia="仿宋_GB2312" w:cs="仿宋_GB2312"/>
                <w:color w:val="000000"/>
                <w:sz w:val="20"/>
                <w:szCs w:val="20"/>
                <w:highlight w:val="none"/>
                <w:lang w:eastAsia="zh-CN"/>
              </w:rPr>
              <w:t>工作人员报酬发放，</w:t>
            </w:r>
            <w:r>
              <w:rPr>
                <w:rFonts w:hint="eastAsia" w:ascii="仿宋_GB2312" w:hAnsi="仿宋_GB2312" w:eastAsia="仿宋_GB2312" w:cs="仿宋_GB2312"/>
                <w:color w:val="000000"/>
                <w:sz w:val="20"/>
                <w:szCs w:val="20"/>
                <w:highlight w:val="none"/>
                <w:lang w:val="en-US" w:eastAsia="zh-CN"/>
              </w:rPr>
              <w:t>社区</w:t>
            </w:r>
            <w:r>
              <w:rPr>
                <w:rFonts w:hint="eastAsia" w:ascii="仿宋_GB2312" w:hAnsi="仿宋_GB2312" w:eastAsia="仿宋_GB2312" w:cs="仿宋_GB2312"/>
                <w:color w:val="000000"/>
                <w:sz w:val="20"/>
                <w:szCs w:val="20"/>
                <w:highlight w:val="none"/>
                <w:lang w:eastAsia="zh-CN"/>
              </w:rPr>
              <w:t>办公经费合理支出及其他必要开支，全年</w:t>
            </w:r>
            <w:r>
              <w:rPr>
                <w:rFonts w:hint="eastAsia" w:ascii="仿宋_GB2312" w:hAnsi="仿宋_GB2312" w:eastAsia="仿宋_GB2312" w:cs="仿宋_GB2312"/>
                <w:color w:val="000000"/>
                <w:sz w:val="20"/>
                <w:szCs w:val="20"/>
                <w:highlight w:val="none"/>
                <w:lang w:val="en-US" w:eastAsia="zh-CN"/>
              </w:rPr>
              <w:t>社区</w:t>
            </w:r>
            <w:r>
              <w:rPr>
                <w:rFonts w:hint="eastAsia" w:ascii="仿宋_GB2312" w:hAnsi="仿宋_GB2312" w:eastAsia="仿宋_GB2312" w:cs="仿宋_GB2312"/>
                <w:color w:val="000000"/>
                <w:sz w:val="20"/>
                <w:szCs w:val="20"/>
                <w:highlight w:val="none"/>
                <w:lang w:eastAsia="zh-CN"/>
              </w:rPr>
              <w:t>工作运转正常。</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运转经费保障社区</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3个</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社区干部工资发放人数</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在编人员</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在编人员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工资到位率</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经费拨付合规率</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经费拨付及时性</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按月拨付</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按月拨付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支出不超过预算数</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326万元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326万元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9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促进经济发展、社会进步</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需进一步发展本地经济</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居民便捷服务幸福感满满</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需进一步提高社会效益</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促进环境改善</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推动社区可持续发展。</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居民满意度</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32"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w:t>
      </w:r>
      <w:r>
        <w:rPr>
          <w:rFonts w:hint="eastAsia" w:ascii="Times New Roman" w:hAnsi="Times New Roman" w:eastAsia="仿宋_GB2312" w:cs="Times New Roman"/>
          <w:sz w:val="20"/>
          <w:szCs w:val="20"/>
          <w:highlight w:val="none"/>
          <w:lang w:eastAsia="zh-CN"/>
        </w:rPr>
        <w:t>字：</w:t>
      </w:r>
    </w:p>
    <w:p>
      <w:pPr>
        <w:widowControl/>
        <w:spacing w:line="600" w:lineRule="exact"/>
        <w:jc w:val="left"/>
        <w:rPr>
          <w:rFonts w:hint="default" w:ascii="Times New Roman" w:hAnsi="Times New Roman" w:eastAsia="黑体" w:cs="Times New Roman"/>
          <w:sz w:val="30"/>
          <w:szCs w:val="30"/>
          <w:highlight w:val="none"/>
          <w:lang w:val="en-US" w:eastAsia="zh-CN"/>
        </w:rPr>
      </w:pPr>
      <w:r>
        <w:rPr>
          <w:rFonts w:hint="eastAsia" w:ascii="黑体" w:hAnsi="黑体" w:eastAsia="黑体" w:cs="黑体"/>
          <w:sz w:val="30"/>
          <w:szCs w:val="30"/>
          <w:highlight w:val="none"/>
        </w:rPr>
        <w:t>附件</w:t>
      </w:r>
      <w:r>
        <w:rPr>
          <w:rFonts w:hint="eastAsia" w:ascii="黑体" w:hAnsi="黑体" w:eastAsia="黑体" w:cs="黑体"/>
          <w:sz w:val="30"/>
          <w:szCs w:val="30"/>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220"/>
        <w:gridCol w:w="1048"/>
        <w:gridCol w:w="828"/>
        <w:gridCol w:w="873"/>
        <w:gridCol w:w="1418"/>
      </w:tblGrid>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村级支出</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君山区钱粮湖镇人民政府</w:t>
            </w:r>
          </w:p>
        </w:tc>
        <w:tc>
          <w:tcPr>
            <w:tcW w:w="104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全镇</w:t>
            </w:r>
            <w:r>
              <w:rPr>
                <w:rFonts w:hint="eastAsia" w:ascii="仿宋_GB2312" w:hAnsi="仿宋_GB2312" w:eastAsia="仿宋_GB2312" w:cs="仿宋_GB2312"/>
                <w:color w:val="000000"/>
                <w:sz w:val="20"/>
                <w:szCs w:val="20"/>
                <w:highlight w:val="none"/>
                <w:lang w:val="en-US" w:eastAsia="zh-CN"/>
              </w:rPr>
              <w:t>14个村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460</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460</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460</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460</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确保</w:t>
            </w:r>
            <w:r>
              <w:rPr>
                <w:rFonts w:hint="eastAsia" w:ascii="仿宋_GB2312" w:hAnsi="仿宋_GB2312" w:eastAsia="仿宋_GB2312" w:cs="仿宋_GB2312"/>
                <w:color w:val="000000"/>
                <w:sz w:val="20"/>
                <w:szCs w:val="20"/>
                <w:highlight w:val="none"/>
                <w:lang w:val="en-US" w:eastAsia="zh-CN"/>
              </w:rPr>
              <w:t>村级组织</w:t>
            </w:r>
            <w:r>
              <w:rPr>
                <w:rFonts w:hint="eastAsia" w:ascii="仿宋_GB2312" w:hAnsi="仿宋_GB2312" w:eastAsia="仿宋_GB2312" w:cs="仿宋_GB2312"/>
                <w:color w:val="000000"/>
                <w:sz w:val="20"/>
                <w:szCs w:val="20"/>
                <w:highlight w:val="none"/>
                <w:lang w:eastAsia="zh-CN"/>
              </w:rPr>
              <w:t>工作正常开展</w:t>
            </w:r>
            <w:r>
              <w:rPr>
                <w:rFonts w:hint="eastAsia" w:ascii="仿宋_GB2312" w:hAnsi="仿宋_GB2312" w:eastAsia="仿宋_GB2312" w:cs="仿宋_GB2312"/>
                <w:color w:val="000000"/>
                <w:sz w:val="20"/>
                <w:szCs w:val="20"/>
                <w:highlight w:val="none"/>
              </w:rPr>
              <w:t>　　</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确保了</w:t>
            </w:r>
            <w:r>
              <w:rPr>
                <w:rFonts w:hint="eastAsia" w:ascii="仿宋_GB2312" w:hAnsi="仿宋_GB2312" w:eastAsia="仿宋_GB2312" w:cs="仿宋_GB2312"/>
                <w:color w:val="000000"/>
                <w:sz w:val="20"/>
                <w:szCs w:val="20"/>
                <w:highlight w:val="none"/>
                <w:lang w:val="en-US" w:eastAsia="zh-CN"/>
              </w:rPr>
              <w:t>村级组织</w:t>
            </w:r>
            <w:r>
              <w:rPr>
                <w:rFonts w:hint="eastAsia" w:ascii="仿宋_GB2312" w:hAnsi="仿宋_GB2312" w:eastAsia="仿宋_GB2312" w:cs="仿宋_GB2312"/>
                <w:color w:val="000000"/>
                <w:sz w:val="20"/>
                <w:szCs w:val="20"/>
                <w:highlight w:val="none"/>
                <w:lang w:eastAsia="zh-CN"/>
              </w:rPr>
              <w:t>工作人员报酬发放，</w:t>
            </w:r>
            <w:r>
              <w:rPr>
                <w:rFonts w:hint="eastAsia" w:ascii="仿宋_GB2312" w:hAnsi="仿宋_GB2312" w:eastAsia="仿宋_GB2312" w:cs="仿宋_GB2312"/>
                <w:color w:val="000000"/>
                <w:sz w:val="20"/>
                <w:szCs w:val="20"/>
                <w:highlight w:val="none"/>
                <w:lang w:val="en-US" w:eastAsia="zh-CN"/>
              </w:rPr>
              <w:t>村级组织</w:t>
            </w:r>
            <w:r>
              <w:rPr>
                <w:rFonts w:hint="eastAsia" w:ascii="仿宋_GB2312" w:hAnsi="仿宋_GB2312" w:eastAsia="仿宋_GB2312" w:cs="仿宋_GB2312"/>
                <w:color w:val="000000"/>
                <w:sz w:val="20"/>
                <w:szCs w:val="20"/>
                <w:highlight w:val="none"/>
                <w:lang w:eastAsia="zh-CN"/>
              </w:rPr>
              <w:t>办公经费合理支出及其他必要开支，全年</w:t>
            </w:r>
            <w:r>
              <w:rPr>
                <w:rFonts w:hint="eastAsia" w:ascii="仿宋_GB2312" w:hAnsi="仿宋_GB2312" w:eastAsia="仿宋_GB2312" w:cs="仿宋_GB2312"/>
                <w:color w:val="000000"/>
                <w:sz w:val="20"/>
                <w:szCs w:val="20"/>
                <w:highlight w:val="none"/>
                <w:lang w:val="en-US" w:eastAsia="zh-CN"/>
              </w:rPr>
              <w:t>村村级组织</w:t>
            </w:r>
            <w:r>
              <w:rPr>
                <w:rFonts w:hint="eastAsia" w:ascii="仿宋_GB2312" w:hAnsi="仿宋_GB2312" w:eastAsia="仿宋_GB2312" w:cs="仿宋_GB2312"/>
                <w:color w:val="000000"/>
                <w:sz w:val="20"/>
                <w:szCs w:val="20"/>
                <w:highlight w:val="none"/>
                <w:lang w:eastAsia="zh-CN"/>
              </w:rPr>
              <w:t>工作运转正常。</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运转经费保障村</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9个</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村干部工资发放人数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在编人员</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在编人员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村干部基本报酬</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执行镇文件</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工资到位率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经费拨付合规率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经费拨付及时性</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按月拨付</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按月拨付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拨付经费不超过预算数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294万元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294万元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村组织为村民提供完美服务，促进经济发展、社会进步</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提高村民幸福感</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进一步提升社会综合效率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促进环境改善</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促进农村高质量发展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村民满意度</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单位负责人签字：</w:t>
      </w:r>
    </w:p>
    <w:p>
      <w:pPr>
        <w:widowControl/>
        <w:spacing w:line="600" w:lineRule="exact"/>
        <w:jc w:val="left"/>
        <w:rPr>
          <w:rFonts w:hint="default" w:ascii="Times New Roman" w:hAnsi="Times New Roman" w:eastAsia="黑体" w:cs="Times New Roman"/>
          <w:sz w:val="30"/>
          <w:szCs w:val="30"/>
          <w:highlight w:val="none"/>
          <w:lang w:val="en-US" w:eastAsia="zh-CN"/>
        </w:rPr>
      </w:pPr>
      <w:r>
        <w:rPr>
          <w:rFonts w:hint="eastAsia" w:ascii="黑体" w:hAnsi="黑体" w:eastAsia="黑体" w:cs="黑体"/>
          <w:sz w:val="30"/>
          <w:szCs w:val="30"/>
          <w:highlight w:val="none"/>
        </w:rPr>
        <w:t>附件</w:t>
      </w:r>
      <w:r>
        <w:rPr>
          <w:rFonts w:hint="eastAsia" w:ascii="黑体" w:hAnsi="黑体" w:eastAsia="黑体" w:cs="黑体"/>
          <w:sz w:val="30"/>
          <w:szCs w:val="30"/>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220"/>
        <w:gridCol w:w="1048"/>
        <w:gridCol w:w="828"/>
        <w:gridCol w:w="873"/>
        <w:gridCol w:w="1418"/>
      </w:tblGrid>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SA"/>
              </w:rPr>
              <w:t>村级社区组织规范建设资金及服务群众专项经费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君山区钱粮湖镇人民政府</w:t>
            </w:r>
          </w:p>
        </w:tc>
        <w:tc>
          <w:tcPr>
            <w:tcW w:w="104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全镇</w:t>
            </w:r>
            <w:r>
              <w:rPr>
                <w:rFonts w:hint="eastAsia" w:ascii="仿宋_GB2312" w:hAnsi="仿宋_GB2312" w:eastAsia="仿宋_GB2312" w:cs="仿宋_GB2312"/>
                <w:color w:val="000000"/>
                <w:sz w:val="20"/>
                <w:szCs w:val="20"/>
                <w:highlight w:val="none"/>
                <w:lang w:val="en-US" w:eastAsia="zh-CN"/>
              </w:rPr>
              <w:t>14个村、7个社区</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确保</w:t>
            </w:r>
            <w:r>
              <w:rPr>
                <w:rFonts w:hint="eastAsia" w:ascii="仿宋_GB2312" w:hAnsi="仿宋_GB2312" w:eastAsia="仿宋_GB2312" w:cs="仿宋_GB2312"/>
                <w:color w:val="000000"/>
                <w:sz w:val="20"/>
                <w:szCs w:val="20"/>
                <w:highlight w:val="none"/>
                <w:lang w:val="en-US" w:eastAsia="zh-CN"/>
              </w:rPr>
              <w:t>村级社区组织</w:t>
            </w:r>
            <w:r>
              <w:rPr>
                <w:rFonts w:hint="eastAsia" w:ascii="仿宋_GB2312" w:hAnsi="仿宋_GB2312" w:eastAsia="仿宋_GB2312" w:cs="仿宋_GB2312"/>
                <w:color w:val="000000"/>
                <w:sz w:val="20"/>
                <w:szCs w:val="20"/>
                <w:highlight w:val="none"/>
                <w:lang w:eastAsia="zh-CN"/>
              </w:rPr>
              <w:t>规范化建设上水平，服务群众上档次，提升老百姓获得感、幸福感。</w:t>
            </w:r>
            <w:r>
              <w:rPr>
                <w:rFonts w:hint="eastAsia" w:ascii="仿宋_GB2312" w:hAnsi="仿宋_GB2312" w:eastAsia="仿宋_GB2312" w:cs="仿宋_GB2312"/>
                <w:color w:val="000000"/>
                <w:sz w:val="20"/>
                <w:szCs w:val="20"/>
                <w:highlight w:val="none"/>
              </w:rPr>
              <w:t>　</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按时拨付专项资金，确保村级社区组织规范化建设上水平，服务群众上档次，提升老百姓获得感、幸福感。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保障村个数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14个</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保障社区个数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7个</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村（社区）均拨款标准</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kern w:val="0"/>
                <w:sz w:val="20"/>
                <w:szCs w:val="20"/>
                <w:highlight w:val="none"/>
                <w:lang w:val="en-US" w:eastAsia="zh-CN" w:bidi="ar-SA"/>
              </w:rPr>
              <w:t>2万元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规范化建设上水平</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服务群众上档次</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经费拨付及时率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拨付经费不超过预算数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42万元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42万元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促进经济发展、社会进步</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提升居民获得感</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幸福感</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促进环境改善</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促进城乡高质量发展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群众满意度</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单位负责人签字：</w:t>
      </w:r>
    </w:p>
    <w:p>
      <w:pPr>
        <w:widowControl/>
        <w:spacing w:line="600" w:lineRule="exact"/>
        <w:jc w:val="left"/>
        <w:rPr>
          <w:rFonts w:hint="default" w:ascii="Times New Roman" w:hAnsi="Times New Roman" w:eastAsia="黑体" w:cs="Times New Roman"/>
          <w:sz w:val="30"/>
          <w:szCs w:val="30"/>
          <w:highlight w:val="none"/>
          <w:lang w:val="en-US" w:eastAsia="zh-CN"/>
        </w:rPr>
      </w:pPr>
      <w:r>
        <w:rPr>
          <w:rFonts w:hint="eastAsia" w:ascii="黑体" w:hAnsi="黑体" w:eastAsia="黑体" w:cs="黑体"/>
          <w:sz w:val="30"/>
          <w:szCs w:val="30"/>
          <w:highlight w:val="none"/>
        </w:rPr>
        <w:t>附件</w:t>
      </w:r>
      <w:r>
        <w:rPr>
          <w:rFonts w:hint="eastAsia" w:ascii="黑体" w:hAnsi="黑体" w:eastAsia="黑体" w:cs="黑体"/>
          <w:sz w:val="30"/>
          <w:szCs w:val="30"/>
          <w:highlight w:val="none"/>
          <w:lang w:val="en-US" w:eastAsia="zh-CN"/>
        </w:rPr>
        <w:t>3-5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220"/>
        <w:gridCol w:w="1048"/>
        <w:gridCol w:w="828"/>
        <w:gridCol w:w="873"/>
        <w:gridCol w:w="1418"/>
      </w:tblGrid>
      <w:tr>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SA"/>
              </w:rPr>
              <w:t>其他转移支付</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君山区钱粮湖镇人民政府</w:t>
            </w:r>
          </w:p>
        </w:tc>
        <w:tc>
          <w:tcPr>
            <w:tcW w:w="104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镇执法大队、环卫中心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0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进一步改善乡镇人居环境，提升城镇品位，加强城镇日常管理，保障城管管理及环卫工作人员日常工作正常开展。</w:t>
            </w:r>
          </w:p>
        </w:tc>
        <w:tc>
          <w:tcPr>
            <w:tcW w:w="416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按时拨付专项资金，进一步改善乡镇人居环境，提升城镇品位，加强城镇日常管理，保障城管管理及环卫工作人员日常工作正常开展。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主次干道非机动车违规停放拖运</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100辆</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106辆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规范清理辖区店招门头广告工作</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5次</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宣传单发放</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 w:eastAsia="zh-CN" w:bidi="ar-SA"/>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kern w:val="0"/>
                <w:sz w:val="20"/>
                <w:szCs w:val="20"/>
                <w:highlight w:val="none"/>
                <w:lang w:val="en-US" w:eastAsia="zh-CN" w:bidi="ar-SA"/>
              </w:rPr>
              <w:t>1000张</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1127张</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乱停乱放情况整改率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出店占道经营整改率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经费拨付及时率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拨付经费不超过预算数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200万元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200万元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创建良好发展环境促进经济发展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维护良好乡镇风貌</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进一步提升城镇品位。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人居环境明细改善</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提升乡镇人文魅力</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群众满意度</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宋体"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lang w:val="en-US" w:eastAsia="zh-CN"/>
        </w:rPr>
      </w:pPr>
      <w:r>
        <w:rPr>
          <w:rFonts w:hint="default" w:ascii="Times New Roman" w:hAnsi="Times New Roman" w:eastAsia="仿宋_GB2312" w:cs="Times New Roman"/>
          <w:sz w:val="20"/>
          <w:szCs w:val="20"/>
          <w:highlight w:val="none"/>
        </w:rPr>
        <w:t>填表人：</w:t>
      </w:r>
      <w:r>
        <w:rPr>
          <w:rFonts w:hint="eastAsia" w:ascii="Times New Roman" w:hAnsi="Times New Roman" w:eastAsia="仿宋_GB2312" w:cs="Times New Roman"/>
          <w:sz w:val="20"/>
          <w:szCs w:val="20"/>
          <w:highlight w:val="none"/>
          <w:lang w:eastAsia="zh-CN"/>
        </w:rPr>
        <w:t>汤建兵</w:t>
      </w:r>
      <w:r>
        <w:rPr>
          <w:rFonts w:hint="default" w:ascii="Times New Roman" w:hAnsi="Times New Roman" w:eastAsia="仿宋_GB2312" w:cs="Times New Roman"/>
          <w:sz w:val="20"/>
          <w:szCs w:val="20"/>
          <w:highlight w:val="none"/>
        </w:rPr>
        <w:t xml:space="preserve">  填报日期：</w:t>
      </w:r>
      <w:r>
        <w:rPr>
          <w:rFonts w:hint="eastAsia" w:ascii="Times New Roman" w:hAnsi="Times New Roman" w:eastAsia="仿宋_GB2312" w:cs="Times New Roman"/>
          <w:sz w:val="20"/>
          <w:szCs w:val="20"/>
          <w:highlight w:val="none"/>
          <w:lang w:val="en-US" w:eastAsia="zh-CN"/>
        </w:rPr>
        <w:t>2024.6.30</w:t>
      </w:r>
      <w:r>
        <w:rPr>
          <w:rFonts w:hint="default" w:ascii="Times New Roman" w:hAnsi="Times New Roman" w:eastAsia="仿宋_GB2312" w:cs="Times New Roman"/>
          <w:sz w:val="20"/>
          <w:szCs w:val="20"/>
          <w:highlight w:val="none"/>
        </w:rPr>
        <w:t xml:space="preserve">  联系电话：</w:t>
      </w:r>
      <w:r>
        <w:rPr>
          <w:rFonts w:hint="eastAsia" w:ascii="Times New Roman" w:hAnsi="Times New Roman" w:eastAsia="仿宋_GB2312" w:cs="Times New Roman"/>
          <w:sz w:val="20"/>
          <w:szCs w:val="20"/>
          <w:highlight w:val="none"/>
          <w:lang w:val="en-US" w:eastAsia="zh-CN"/>
        </w:rPr>
        <w:t>13874093520</w:t>
      </w:r>
      <w:r>
        <w:rPr>
          <w:rFonts w:hint="default" w:ascii="Times New Roman" w:hAnsi="Times New Roman" w:eastAsia="仿宋_GB2312" w:cs="Times New Roman"/>
          <w:sz w:val="20"/>
          <w:szCs w:val="20"/>
          <w:highlight w:val="none"/>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DBDC55FA"/>
    <w:multiLevelType w:val="singleLevel"/>
    <w:tmpl w:val="DBDC55FA"/>
    <w:lvl w:ilvl="0" w:tentative="0">
      <w:start w:val="2"/>
      <w:numFmt w:val="decimal"/>
      <w:suff w:val="nothing"/>
      <w:lvlText w:val="%1、"/>
      <w:lvlJc w:val="left"/>
      <w:pPr>
        <w:ind w:left="640" w:leftChars="0" w:firstLine="0" w:firstLineChars="0"/>
      </w:pPr>
    </w:lvl>
  </w:abstractNum>
  <w:abstractNum w:abstractNumId="2">
    <w:nsid w:val="FEFB2229"/>
    <w:multiLevelType w:val="singleLevel"/>
    <w:tmpl w:val="FEFB2229"/>
    <w:lvl w:ilvl="0" w:tentative="0">
      <w:start w:val="2"/>
      <w:numFmt w:val="chineseCounting"/>
      <w:suff w:val="nothing"/>
      <w:lvlText w:val="（%1）"/>
      <w:lvlJc w:val="left"/>
      <w:rPr>
        <w:rFonts w:hint="eastAsia"/>
      </w:rPr>
    </w:lvl>
  </w:abstractNum>
  <w:abstractNum w:abstractNumId="3">
    <w:nsid w:val="1113A4A2"/>
    <w:multiLevelType w:val="singleLevel"/>
    <w:tmpl w:val="1113A4A2"/>
    <w:lvl w:ilvl="0" w:tentative="0">
      <w:start w:val="1"/>
      <w:numFmt w:val="chineseCounting"/>
      <w:suff w:val="nothing"/>
      <w:lvlText w:val="（%1）"/>
      <w:lvlJc w:val="left"/>
      <w:rPr>
        <w:rFonts w:hint="eastAsia"/>
      </w:rPr>
    </w:lvl>
  </w:abstractNum>
  <w:abstractNum w:abstractNumId="4">
    <w:nsid w:val="425036FE"/>
    <w:multiLevelType w:val="singleLevel"/>
    <w:tmpl w:val="425036FE"/>
    <w:lvl w:ilvl="0" w:tentative="0">
      <w:start w:val="2"/>
      <w:numFmt w:val="chineseCounting"/>
      <w:suff w:val="nothing"/>
      <w:lvlText w:val="（%1）"/>
      <w:lvlJc w:val="left"/>
      <w:rPr>
        <w:rFonts w:hint="eastAsia"/>
      </w:rPr>
    </w:lvl>
  </w:abstractNum>
  <w:abstractNum w:abstractNumId="5">
    <w:nsid w:val="74379EE1"/>
    <w:multiLevelType w:val="singleLevel"/>
    <w:tmpl w:val="74379EE1"/>
    <w:lvl w:ilvl="0" w:tentative="0">
      <w:start w:val="1"/>
      <w:numFmt w:val="decimal"/>
      <w:suff w:val="nothing"/>
      <w:lvlText w:val="%1、"/>
      <w:lvlJc w:val="left"/>
    </w:lvl>
  </w:abstractNum>
  <w:abstractNum w:abstractNumId="6">
    <w:nsid w:val="7F0490DB"/>
    <w:multiLevelType w:val="singleLevel"/>
    <w:tmpl w:val="7F0490DB"/>
    <w:lvl w:ilvl="0" w:tentative="0">
      <w:start w:val="1"/>
      <w:numFmt w:val="chineseCounting"/>
      <w:suff w:val="nothing"/>
      <w:lvlText w:val="%1、"/>
      <w:lvlJc w:val="left"/>
      <w:rPr>
        <w:rFonts w:hint="eastAsia"/>
      </w:rPr>
    </w:lvl>
  </w:abstractNum>
  <w:abstractNum w:abstractNumId="7">
    <w:nsid w:val="7F66692C"/>
    <w:multiLevelType w:val="singleLevel"/>
    <w:tmpl w:val="7F66692C"/>
    <w:lvl w:ilvl="0" w:tentative="0">
      <w:start w:val="3"/>
      <w:numFmt w:val="chineseCounting"/>
      <w:suff w:val="nothing"/>
      <w:lvlText w:val="（%1）"/>
      <w:lvlJc w:val="left"/>
      <w:rPr>
        <w:rFonts w:hint="eastAsia"/>
      </w:rPr>
    </w:lvl>
  </w:abstractNum>
  <w:num w:numId="1">
    <w:abstractNumId w:val="6"/>
  </w:num>
  <w:num w:numId="2">
    <w:abstractNumId w:val="2"/>
  </w:num>
  <w:num w:numId="3">
    <w:abstractNumId w:val="7"/>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TYxNzQ5ZmM0Mzk4ODUwZmJiMjhlNjAwNDcwMGQifQ=="/>
  </w:docVars>
  <w:rsids>
    <w:rsidRoot w:val="59886344"/>
    <w:rsid w:val="009A13B3"/>
    <w:rsid w:val="010837A1"/>
    <w:rsid w:val="02987474"/>
    <w:rsid w:val="02BC3862"/>
    <w:rsid w:val="0368705F"/>
    <w:rsid w:val="03E40645"/>
    <w:rsid w:val="0494080E"/>
    <w:rsid w:val="0B233BFF"/>
    <w:rsid w:val="0B521208"/>
    <w:rsid w:val="0BD07CC1"/>
    <w:rsid w:val="0CDD473D"/>
    <w:rsid w:val="0D3D1EF3"/>
    <w:rsid w:val="0F7E0188"/>
    <w:rsid w:val="0FC41FA8"/>
    <w:rsid w:val="0FE720D1"/>
    <w:rsid w:val="10B419C8"/>
    <w:rsid w:val="10DC30EE"/>
    <w:rsid w:val="11082F7E"/>
    <w:rsid w:val="11E12A75"/>
    <w:rsid w:val="122B2C8A"/>
    <w:rsid w:val="128D0F7A"/>
    <w:rsid w:val="1332534F"/>
    <w:rsid w:val="13576E37"/>
    <w:rsid w:val="13D450F8"/>
    <w:rsid w:val="13DA2702"/>
    <w:rsid w:val="1405311A"/>
    <w:rsid w:val="143C40D6"/>
    <w:rsid w:val="14F61583"/>
    <w:rsid w:val="159168E6"/>
    <w:rsid w:val="15E77F19"/>
    <w:rsid w:val="15F13149"/>
    <w:rsid w:val="172B2124"/>
    <w:rsid w:val="1732338C"/>
    <w:rsid w:val="173F7F67"/>
    <w:rsid w:val="1AF85D10"/>
    <w:rsid w:val="1C112A19"/>
    <w:rsid w:val="1CA05B4B"/>
    <w:rsid w:val="1CA92FCC"/>
    <w:rsid w:val="1E284F2F"/>
    <w:rsid w:val="1EC57AEB"/>
    <w:rsid w:val="1EEA7939"/>
    <w:rsid w:val="1FFB1A16"/>
    <w:rsid w:val="25596426"/>
    <w:rsid w:val="258978A7"/>
    <w:rsid w:val="28151034"/>
    <w:rsid w:val="2866790C"/>
    <w:rsid w:val="292C7FA1"/>
    <w:rsid w:val="294E3588"/>
    <w:rsid w:val="29A27415"/>
    <w:rsid w:val="29BF6A2F"/>
    <w:rsid w:val="2A20707C"/>
    <w:rsid w:val="2B0F3E96"/>
    <w:rsid w:val="2B3345E3"/>
    <w:rsid w:val="2B7B1C09"/>
    <w:rsid w:val="2CD74D43"/>
    <w:rsid w:val="2D410C84"/>
    <w:rsid w:val="2D7746A6"/>
    <w:rsid w:val="2EFF4953"/>
    <w:rsid w:val="2F2045CC"/>
    <w:rsid w:val="318C4BC4"/>
    <w:rsid w:val="31A0241D"/>
    <w:rsid w:val="32C548F8"/>
    <w:rsid w:val="340A5F2C"/>
    <w:rsid w:val="341276CC"/>
    <w:rsid w:val="345E1F06"/>
    <w:rsid w:val="36392746"/>
    <w:rsid w:val="37123D39"/>
    <w:rsid w:val="373D61B8"/>
    <w:rsid w:val="37643EED"/>
    <w:rsid w:val="3921592B"/>
    <w:rsid w:val="39700927"/>
    <w:rsid w:val="39AB195F"/>
    <w:rsid w:val="3ADE7B13"/>
    <w:rsid w:val="3C156456"/>
    <w:rsid w:val="3C1D0796"/>
    <w:rsid w:val="3C4B2834"/>
    <w:rsid w:val="3C9C7C85"/>
    <w:rsid w:val="3CFC24D2"/>
    <w:rsid w:val="3D070645"/>
    <w:rsid w:val="3FD8E664"/>
    <w:rsid w:val="40923879"/>
    <w:rsid w:val="41084201"/>
    <w:rsid w:val="430F1E49"/>
    <w:rsid w:val="436B542E"/>
    <w:rsid w:val="43B151C2"/>
    <w:rsid w:val="441A7C24"/>
    <w:rsid w:val="4441183E"/>
    <w:rsid w:val="445265DF"/>
    <w:rsid w:val="458D5615"/>
    <w:rsid w:val="46AA5761"/>
    <w:rsid w:val="47226FD9"/>
    <w:rsid w:val="47AD2D46"/>
    <w:rsid w:val="47D52737"/>
    <w:rsid w:val="48322A9F"/>
    <w:rsid w:val="49142EDD"/>
    <w:rsid w:val="49A50F0B"/>
    <w:rsid w:val="49C51AD6"/>
    <w:rsid w:val="49C65963"/>
    <w:rsid w:val="49FF2520"/>
    <w:rsid w:val="4A552434"/>
    <w:rsid w:val="4A5971B6"/>
    <w:rsid w:val="4A747320"/>
    <w:rsid w:val="4B87519B"/>
    <w:rsid w:val="4B9C166F"/>
    <w:rsid w:val="4C404189"/>
    <w:rsid w:val="4D2E7AAA"/>
    <w:rsid w:val="4D9F18DC"/>
    <w:rsid w:val="4E3C64AA"/>
    <w:rsid w:val="4FCE41A2"/>
    <w:rsid w:val="50F73284"/>
    <w:rsid w:val="514D2074"/>
    <w:rsid w:val="515E33F2"/>
    <w:rsid w:val="51943E17"/>
    <w:rsid w:val="519C5811"/>
    <w:rsid w:val="526E7576"/>
    <w:rsid w:val="52BA3CE7"/>
    <w:rsid w:val="52E33AC0"/>
    <w:rsid w:val="53C75190"/>
    <w:rsid w:val="540612DD"/>
    <w:rsid w:val="54927589"/>
    <w:rsid w:val="55264E81"/>
    <w:rsid w:val="56EE3E47"/>
    <w:rsid w:val="589715D5"/>
    <w:rsid w:val="58E460AB"/>
    <w:rsid w:val="590F015F"/>
    <w:rsid w:val="59886344"/>
    <w:rsid w:val="59BB0154"/>
    <w:rsid w:val="5ABF3065"/>
    <w:rsid w:val="5AF55530"/>
    <w:rsid w:val="5B950730"/>
    <w:rsid w:val="5C1263A3"/>
    <w:rsid w:val="5E2A2EEB"/>
    <w:rsid w:val="5EA1598F"/>
    <w:rsid w:val="5F4E573F"/>
    <w:rsid w:val="5FA50E0D"/>
    <w:rsid w:val="5FB76975"/>
    <w:rsid w:val="60E253D9"/>
    <w:rsid w:val="616136BC"/>
    <w:rsid w:val="61FB2D38"/>
    <w:rsid w:val="62724E61"/>
    <w:rsid w:val="63602ACF"/>
    <w:rsid w:val="64CF6C8F"/>
    <w:rsid w:val="65A750DC"/>
    <w:rsid w:val="65BFA72A"/>
    <w:rsid w:val="68DD5D2B"/>
    <w:rsid w:val="68E51EE8"/>
    <w:rsid w:val="6A8D126F"/>
    <w:rsid w:val="6BDE1CB3"/>
    <w:rsid w:val="6BE45935"/>
    <w:rsid w:val="6C303DC2"/>
    <w:rsid w:val="6CA97D11"/>
    <w:rsid w:val="6EBC4974"/>
    <w:rsid w:val="6F0D3F47"/>
    <w:rsid w:val="6FFB562B"/>
    <w:rsid w:val="715275D8"/>
    <w:rsid w:val="72505D04"/>
    <w:rsid w:val="73102258"/>
    <w:rsid w:val="732D5129"/>
    <w:rsid w:val="736F3187"/>
    <w:rsid w:val="745273DE"/>
    <w:rsid w:val="767D7DFF"/>
    <w:rsid w:val="76EC030B"/>
    <w:rsid w:val="7728263E"/>
    <w:rsid w:val="778E0E62"/>
    <w:rsid w:val="78027CD6"/>
    <w:rsid w:val="789456D9"/>
    <w:rsid w:val="7976B850"/>
    <w:rsid w:val="7A140880"/>
    <w:rsid w:val="7BAFFD97"/>
    <w:rsid w:val="7C9150AE"/>
    <w:rsid w:val="7E9957F7"/>
    <w:rsid w:val="7FF500C7"/>
    <w:rsid w:val="9DEF63CF"/>
    <w:rsid w:val="DCF59819"/>
    <w:rsid w:val="DFEF884A"/>
    <w:rsid w:val="EDFF5079"/>
    <w:rsid w:val="FBB9296B"/>
    <w:rsid w:val="FBEC7F79"/>
    <w:rsid w:val="FCEDF48B"/>
    <w:rsid w:val="FDDF3A1B"/>
    <w:rsid w:val="FF7F40D9"/>
    <w:rsid w:val="FFDB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1"/>
      <w:szCs w:val="31"/>
      <w:lang w:val="en-US" w:eastAsia="en-US" w:bidi="ar-SA"/>
    </w:rPr>
  </w:style>
  <w:style w:type="paragraph" w:styleId="3">
    <w:name w:val="toc 5"/>
    <w:basedOn w:val="1"/>
    <w:next w:val="1"/>
    <w:qFormat/>
    <w:uiPriority w:val="39"/>
    <w:pPr>
      <w:ind w:left="1680" w:leftChars="800"/>
    </w:pPr>
  </w:style>
  <w:style w:type="paragraph" w:styleId="4">
    <w:name w:val="Normal Indent"/>
    <w:basedOn w:val="1"/>
    <w:unhideWhenUsed/>
    <w:qFormat/>
    <w:uiPriority w:val="99"/>
    <w:pPr>
      <w:ind w:firstLine="420" w:firstLineChars="200"/>
    </w:pPr>
  </w:style>
  <w:style w:type="paragraph" w:styleId="5">
    <w:name w:val="Body Text Indent"/>
    <w:basedOn w:val="1"/>
    <w:next w:val="4"/>
    <w:qFormat/>
    <w:uiPriority w:val="0"/>
    <w:pPr>
      <w:spacing w:after="120"/>
      <w:ind w:left="420" w:leftChars="200"/>
    </w:pPr>
    <w:rPr>
      <w:rFonts w:ascii="Calibri" w:hAnsi="Calibri" w:eastAsia="宋体" w:cs="Times New Roman"/>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5"/>
    <w:next w:val="1"/>
    <w:qFormat/>
    <w:uiPriority w:val="0"/>
    <w:pPr>
      <w:spacing w:before="100" w:beforeAutospacing="1" w:after="0"/>
      <w:ind w:left="0" w:firstLine="420" w:firstLineChars="200"/>
    </w:pPr>
  </w:style>
  <w:style w:type="character" w:styleId="10">
    <w:name w:val="Strong"/>
    <w:qFormat/>
    <w:uiPriority w:val="0"/>
    <w:rPr>
      <w:b/>
      <w:bCs/>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5913</Words>
  <Characters>6387</Characters>
  <Lines>0</Lines>
  <Paragraphs>0</Paragraphs>
  <TotalTime>21</TotalTime>
  <ScaleCrop>false</ScaleCrop>
  <LinksUpToDate>false</LinksUpToDate>
  <CharactersWithSpaces>6855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2024-03-20T08:36:00Z</dcterms:created>
  <dc:creator>Administrator</dc:creator>
  <cp:lastModifiedBy>qlhczstjb</cp:lastModifiedBy>
  <cp:lastPrinted>2024-07-03T16:37:23Z</cp:lastPrinted>
  <dcterms:modified xsi:type="dcterms:W3CDTF">2024-07-03T16:43:55Z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3163B765D50B4311A7205E38FF271082_13</vt:lpwstr>
  </property>
</Properties>
</file>