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sz w:val="44"/>
          <w:szCs w:val="44"/>
        </w:rPr>
        <w:t>年度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岳阳市君山区供销合作联社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整体支出绩效自评报告</w:t>
      </w: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楷体_GB2312" w:cs="Times New Roman"/>
          <w:sz w:val="32"/>
          <w:szCs w:val="32"/>
        </w:rPr>
        <w:t>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岳阳市君山区供销合作联社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部门（单位）基本情况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岳阳市君山区供销合作联社（以下简称我社）成立于1997年，2001年经区人民政府批准，确定为财政全额拨款的正科级事业单位，其主要职能职责为：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1、宣传、贯彻党和政府及上级供销社有关农村经济工作的方针、政策、法规以及行业组织规章；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2、积极参与构建新型农业社会化服务体系，推进农业产业化经营；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3、大力开展农村社区综合服务，促进城乡经济社会统筹发展；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4、加快推进现代流通网络建设，发展农业生产资料、农村日用品消费、农副产品购销、再生资源回收利用等网络；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5、积极领办农民专业合作社，帮助农民专业合作社开拓市场，完善行业协会服务，建立健全规范运行机制；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6、参与建设主体多元、功能完备、便民实用的农村社区综合服务中心，打造农村社区综合服务平台；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7、建立完善社员代表大会制度，引导社员参与基层社经营管理活动；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8、广泛吸纳各类合作经济组织、龙头企业、专业大户，积极组建行业协会；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9、推进企业并购重组，着力打造农资、棉花、农副产品、日用消费品、再生资源等领域龙头企业，增强为农服务实力，支持社有企业参与“万村千乡”和“双百”市场工程；</w:t>
      </w:r>
    </w:p>
    <w:p>
      <w:pPr>
        <w:widowControl/>
        <w:spacing w:line="600" w:lineRule="exact"/>
        <w:ind w:firstLine="627" w:firstLineChars="196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10、大力引进和培养各类经营管理与专业技术人才，实行人才兴社战略；</w:t>
      </w:r>
    </w:p>
    <w:p>
      <w:pPr>
        <w:widowControl/>
        <w:spacing w:line="600" w:lineRule="exact"/>
        <w:ind w:firstLine="640" w:firstLineChars="200"/>
        <w:jc w:val="left"/>
        <w:rPr>
          <w:rFonts w:eastAsia="楷体_GB2312"/>
          <w:b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11、承办区委、区人民政府交办的其他事项。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（二）机构设置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/>
        </w:rPr>
        <w:t>与人员情况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根据中共岳阳市君山区委机构编制委员会办公室核定，我社内设</w:t>
      </w:r>
      <w:bookmarkStart w:id="0" w:name="_GoBack"/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4个股室，二级机构1个。</w:t>
      </w:r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内设股室分别是：办公室、财务审计股、业务股和安保股；二级机构是：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岳阳市君山区供销资产事务中心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（财务未独立）。我社共有全额拨款事业及参公编制13名。现有在职人员9名，退休人员13名。　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（三）单位绩效目标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整体支出绩效目标：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持续深化供销合作社综合改革，开展生产、供销、信用“三位一体”综合合作工作； 健全农业社会化服务体系，提高为农服务水平；扎实牵头负责本区消费帮扶工作，助力乡村振兴；规范管理社有资产，提升社有资产保值增值能力。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项目支出绩效目标：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2023年度我社无项目支出。             </w:t>
      </w:r>
      <w:r>
        <w:rPr>
          <w:rFonts w:hint="eastAsia" w:ascii="仿宋_GB2312" w:hAnsi="仿宋_GB2312" w:eastAsia="仿宋_GB2312" w:cs="仿宋_GB2312"/>
          <w:color w:val="0000FF"/>
          <w:kern w:val="2"/>
          <w:sz w:val="32"/>
          <w:szCs w:val="32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                                                              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二、一般公共预算支出情况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2023年我社部门预算资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金364.40万元（基本支出364.40万元，项目支出0万元），全年实际支出364.40万元，其中基本支出364.40万元，项目支出0万元，预算执行率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100%。　　　　　　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（一）基本支出情况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我社2023年度全年预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算364.40万元（工资福利支出209.64万元、商品和服务支出98.74万元、对个人和家庭的补助56.02万元），其中一般公共预算财政拨款364.40万元。本单位2023年度基本支出364.40万元（工资福利支出209.64万元、商品和服务支出98.58万元、资本性支出0.16万元、对个人和家庭的补助56.02万元），其中人员经费265.66万元，公用经费98.74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万元。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基本支出主要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是指为保障单位机构正常运转、完成日常工作任务而发生的各项支出，包括用于基本工资、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绩效工资、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津贴补贴、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社会保障缴费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等人员经费，办公费、印刷费、水电费、差旅费、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公务接待费、维修（护）费</w:t>
      </w:r>
      <w:r>
        <w:rPr>
          <w:rFonts w:hint="eastAsia" w:eastAsia="仿宋_GB2312" w:cs="仿宋_GB2312"/>
          <w:kern w:val="0"/>
          <w:sz w:val="32"/>
          <w:szCs w:val="32"/>
          <w:lang w:eastAsia="zh-CN"/>
        </w:rPr>
        <w:t>等日常公用经费，</w:t>
      </w:r>
      <w:r>
        <w:rPr>
          <w:rFonts w:hint="eastAsia" w:eastAsia="仿宋_GB2312" w:cs="仿宋_GB2312"/>
          <w:kern w:val="0"/>
          <w:sz w:val="32"/>
          <w:szCs w:val="32"/>
          <w:lang w:val="en-US" w:eastAsia="zh-CN"/>
        </w:rPr>
        <w:t>以及离退休费用等其他对个人和家庭的补助支出。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项目支出情况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本单位2023年度项目支出全年预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算0万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元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政府性基金预算支出情况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我社无此项支出。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</w:rPr>
        <w:t>国有资本经营预算支出情况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我社无此项支出。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</w:rPr>
        <w:t>社会保险基金预算支出情况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我社无此项支出。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六、</w:t>
      </w:r>
      <w:r>
        <w:rPr>
          <w:rFonts w:hint="default" w:ascii="Times New Roman" w:hAnsi="Times New Roman" w:eastAsia="黑体" w:cs="Times New Roman"/>
          <w:sz w:val="32"/>
          <w:szCs w:val="32"/>
        </w:rPr>
        <w:t>部门整体支出绩效情况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　　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2023年，我社积极履职，资金管理规范，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资产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管理到位，政策执行有力，较好地完成了年度工作目标，有效发挥了财政资金的使用效率。在人员经费支出上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严格执行上级的各项制度;在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经费使用上，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严格执行预算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;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“三公”经费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开支上，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厉行节约，从严控制，2023年度一般公共预算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款中“三公经费”年初预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1.60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万元，实际支出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0.66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万元，为年初预算的41.25%。根据《部门整体支出绩效自评表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》自评得分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98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分(详见附表2)，部门整体支出绩效为“优”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预算财务管理方面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1.严格执行预算管理制度，切实降低运行成本。2023年，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我社严格预算管理，科学安排支出，实时把握支出进度，不断提高资金使用效益，将过“紧日子”贯穿全年，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建立健全了收入、支出、政府采购、资产管理以及公务接待、差旅费等财务管理制度，对公务用车、公务租车、公务出差、公务接待、会议费等实行事前审批制度，严格控制各项支出，有效杜绝了资金浪费情况，确保了资金使用的规范性、安全性和有效性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预算执行率达到100%，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切实降低运行成本，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发挥了财政资金的最大效益。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2.加强资产管理，确保资产保值增值。我社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根据“三资”改革管理规定，按社属企业管理权限对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钱粮湖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岳阳商场进行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公开招租及升级改造工作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，整合各方力量，累计投入近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300万元，增加租赁收入达40万元，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根据政府采购和资产管理要求，建立了资产实物管理台账，根据各股室的需求制订了采购计划，按国有资产配置、政府采购和有关规定按程序在电子卖场进行采购活动。2023年底，我社固定资产原值42万元，净值26万元，无形资产原值0万元，净值0万元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44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kern w:val="44"/>
          <w:sz w:val="32"/>
          <w:szCs w:val="32"/>
          <w:lang w:val="en-US" w:eastAsia="zh-CN" w:bidi="ar"/>
        </w:rPr>
        <w:t>履职产出效益方面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44"/>
          <w:sz w:val="32"/>
          <w:szCs w:val="32"/>
          <w:lang w:val="en-US" w:eastAsia="zh-CN" w:bidi="ar"/>
        </w:rPr>
        <w:t>1、立足为“三农”服务，坚定不移深化供销综合改革。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我社根据总社扩大开放办社、推进联合发展的办社精神，结合实际，积极推进和创新联合办社的方式，通过整合供销社的资源及传统优势产业，对有意向加入供销社系统，涉及农产品精深加工、贸易、运输、仓储﹑物资回收以及高新技术等与供销社产业融合、对接、竞争发展、合作创新的产业，有选择地审核吸收进供销社系统，推进供销社企业的竞争力，扩大供销社系统的影响力，壮大供销社系统为农服务、助农增收的实力。全年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发展为农服务中心6家，累计发展基层社47个，领办创办农民合作社18个，建成农民合作社联合社7个；农村综合服务社发展到20个；建成农业生产服务中心6个、庄稼医院92个，农业生产托管等社会化服务面积达到12万亩以上，辐射带动小农户2500户；连锁经营网点发展到9个，在许市镇和良心堡镇建立了3处双季稻示范基地，水稻种植面积17000亩，为全区农户提供专业、全面的指导和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2、立足为民服务，慎终如始抓好品牌培育推广。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积极响应市供销联社大力推进培育本土农（特）产品公共品牌商标战略，我社立足为农服务本职，投入资金80余万元用于重点打造君山区农产品品牌（米、油、鱼、菜、茶等），协助君之佳供销电子商务有限公司等龙头企业、农民专业合作社注册“畔湖春”“悦来河”“河西湖畔人家”“友伙计”等农（特）产系列品牌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建立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  <w:t>“君品君山”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农特产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</w:rPr>
        <w:t>生活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体验馆2家，入驻“垄上岳阳”展销馆专柜1个，建成“君品君山”品牌形象加盟店1家，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推动农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产品上行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、产品联动、服务到户的线上线下综合平台，实现产、供、销通管，全方位对接。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-SA"/>
        </w:rPr>
        <w:t>3、立足乡村振兴，</w:t>
      </w:r>
      <w:r>
        <w:rPr>
          <w:rFonts w:hint="eastAsia" w:ascii="仿宋_GB2312" w:hAnsi="仿宋_GB2312" w:eastAsia="仿宋_GB2312" w:cs="仿宋_GB2312"/>
          <w:kern w:val="44"/>
          <w:sz w:val="32"/>
          <w:szCs w:val="32"/>
          <w:lang w:val="en-US" w:eastAsia="zh-CN" w:bidi="ar"/>
        </w:rPr>
        <w:t>消费帮扶持续发力。在区委、区政府的大力支持和正确领导下，我社的消费帮扶工作持续发力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，很好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对接“832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平台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”“湖南省政府采购电子卖场”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运行好“岳阳消费帮扶网”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建设“垄上岳阳”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君品君山体验区和“君品君山”农产品生活体验馆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，负责指导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全区各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预算单位在“岳阳消费帮扶网”填报预留份额，并进行产品组织、销售、统计与每季度情况通报及考核工作。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  <w:t>2023年全区消费帮扶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832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平台完成69.06万元，乡村振兴馆完成58.49万元，岳阳消费帮扶馆完成149.37万元，对口帮扶保靖县产品份额75.12万元，基本完成年度下达的任务。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u w:val="none"/>
          <w:shd w:val="clear" w:color="auto" w:fill="auto"/>
          <w:lang w:val="en-US" w:eastAsia="zh-CN"/>
        </w:rPr>
        <w:t>4、坚持全面从严，从紧从实抓好党风廉政建设。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我社始终坚持把维护党章权威、严守党纪党规作为党的建设第一项任务，自觉担负起执行和维护党章党纪党规的责任。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深刻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学习党的二十大精神，贯彻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领会习近平总书记重要指示精神的实质和核心要义，努力将学习成果转化为推动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供销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事业发展的具体行动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把落实“第一议题”制度作为重要政治任务，并纳入党建工作、意识形态工作督查考核的重点内容，不折不扣抓好落实。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坚持以自查自纠为基础，以问题为导向，以整改为关键，以建立长效机制为根本，着力解决存在的腐败问题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kern w:val="0"/>
          <w:sz w:val="32"/>
          <w:szCs w:val="32"/>
          <w:lang w:val="en-US" w:eastAsia="zh-CN" w:bidi="ar-SA"/>
        </w:rPr>
        <w:t>同时，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lang w:val="en-US" w:eastAsia="zh-CN"/>
        </w:rPr>
        <w:t>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督促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区、镇（街道）、村（社区）三级社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认真贯彻落实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专项整治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工作要求，切实履行主体责任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抓好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供销系统专项整治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，对供销社系统问题线索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认真做好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“回头看”。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　　</w:t>
      </w:r>
      <w:r>
        <w:rPr>
          <w:rFonts w:hint="default" w:ascii="Times New Roman" w:hAnsi="Times New Roman" w:eastAsia="黑体" w:cs="Times New Roman"/>
          <w:sz w:val="32"/>
          <w:szCs w:val="32"/>
        </w:rPr>
        <w:t>七、存在的问题及原因分析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（一）预算精准性有待进一步提高</w:t>
      </w:r>
      <w:r>
        <w:rPr>
          <w:rFonts w:hint="eastAsia" w:ascii="Times New Roman" w:hAnsi="Times New Roman" w:eastAsia="楷体_GB2312" w:cs="Times New Roman"/>
          <w:b w:val="0"/>
          <w:bCs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由于预算编制具有不可预见性，年初安排预算时，对各项公用支出的分配安排缺乏统一的硬性标准，导致部分资金使用时需要进行指标调剂。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（二）预算绩效管理意识有待进一步加强，预算绩效管理的工作方法方式有待创新。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预算绩效管理工作贯穿全年，与各个业务股室息息相关，由于对预算绩效管理的全面性和重要性缺乏深入的了解，统揽全局的意识有所欠缺，导致预算绩效管理工作在推动过程中能够很好地完成各项工作任务，但工作质量难以实现质的飞跃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财务业务水平有待进一步提高。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于财务工作内容变化较大，各项制度、政策更新快，加之财务人员忙于琐碎的日常工作，对各项新知识、新业务的学习时间、精力有限，导致财务人员预算绩效管理工作水平一般，在将预算绩效管理转化成工作成果，更好地指导各项工作的开展方面有所欠缺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八、下一步改进措施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（一）加强预算编制的前瞻性，提高预算编制水平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一步提高预算编制的科学性、合理性、严谨性和可控性，紧密结合上一年度预算执行情况和本年度预算收支变化因素，科学、合理地编制本年预算草案，避免出现预算支出与预算执行出现偏差较大的情况。落实预算执行分析，及时了解预算执行差异，合理调整、纠正预算执行偏差，切实提高部门预算收支管理水平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牢固树立预算绩效管理贯穿全局的理念，进一步创新工作方式方法。切实做好预算绩效管理的上传下达工作，在全单位形成将预算绩效管理意识融入到业务工作中的意识，多向优秀典型案例学习，拓宽工作思路，多想办法，想好办法，自觉提高预算绩效管理能力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三）加大财务人员培训力度，提高财务人员从业水平。督促财务人员树立常学常新的理念，及时更新知识体系，通过加大对财务人员预算绩效管理理论水平和实操的培训，提高将预算绩效管理转化成生产力的能力，更好地提高本单位的管理水平，促进各项事业更好发展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照绩效自评结果，总结经验，发现问题，提出改进的方向和具体措施，促进工作的开展。逐步建立绩效评价与部门预算相结合的结果应用机制，实行绩效评价结果在部门预算编制和执行中的应用，促进财政资金的合理分配与有效使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对部门整体支出绩效自评在规定时间内公开至本单位门户网站，确保公开数据真实、完整、准确。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</w:rPr>
        <w:t>其他需要说明的情况</w:t>
      </w:r>
    </w:p>
    <w:p>
      <w:pPr>
        <w:ind w:firstLine="64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无。</w:t>
      </w:r>
    </w:p>
    <w:p>
      <w:pPr>
        <w:ind w:firstLine="640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</w:p>
    <w:p>
      <w:pPr>
        <w:ind w:firstLine="640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5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84.62%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0.60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0.60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0.66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55.24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9.70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　　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规范化县项目建设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45.54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70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98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98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11.49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6.57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6.57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2.17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1.60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0.75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62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62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364.40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364.40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val="en-US" w:eastAsia="zh-CN"/>
              </w:rPr>
              <w:t>深入贯彻落实中央八项规定及其实施细则特神，严格控制“三公”经费开支，严禁超范围、超标准开支，践行精细化管理理念，加强绩效化管理，推进绩效评价结果与预算挂钩，严防资金低效使用，确保财力有效转化为保障力。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：刘继军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填报日期：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2024.6.19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联系电话：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val="en-US" w:eastAsia="zh-CN"/>
        </w:rPr>
        <w:t>13873030025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>单位负责人签字：</w:t>
      </w:r>
      <w:r>
        <w:rPr>
          <w:rFonts w:hint="eastAsia" w:ascii="Times New Roman" w:hAnsi="Times New Roman" w:eastAsia="仿宋_GB2312" w:cs="Times New Roman"/>
          <w:sz w:val="22"/>
          <w:highlight w:val="none"/>
          <w:lang w:eastAsia="zh-CN"/>
        </w:rPr>
        <w:t>湛海清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5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593"/>
        <w:gridCol w:w="1091"/>
        <w:gridCol w:w="1166"/>
        <w:gridCol w:w="716"/>
        <w:gridCol w:w="873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岳阳市君山区供销合作联社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321.72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364.40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364.40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7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2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7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364.40</w:t>
            </w:r>
          </w:p>
        </w:tc>
        <w:tc>
          <w:tcPr>
            <w:tcW w:w="42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364.40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7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42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7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2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7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</w:p>
        </w:tc>
        <w:tc>
          <w:tcPr>
            <w:tcW w:w="420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坚持为农服务宗旨，继续深化供销综合改革，提高为农服务水平，抓好品牌培育推广，助力乡村振兴，消费扶贫持续发力，抓队伍建设，全面落实党风廉政建设。　　</w:t>
            </w:r>
          </w:p>
        </w:tc>
        <w:tc>
          <w:tcPr>
            <w:tcW w:w="42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抓好品牌培育推广，重点打造本区农产品品牌（米、油、鱼、菜、茶等），牵头或协助注册“畔湖春”“悦来河”“河西湖畔人家”“友伙计”等农（特）产系列品牌。牵头消费帮扶，对接“832平台”“湖南省政府采购电子卖场”，运行“岳阳消费帮扶网”，建设“垄上岳阳”君品君山体验区和“君品君山”农产品生活体验馆。坚持全面从严，从紧从实抓好党风廉政建设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建设村级供销合作社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个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31个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完善农化服务，确保农资供应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800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吨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1200吨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村级供销合作社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验收合格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　100%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提升社有资产增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能力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明显改善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明显改善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年度各项任务完成期限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2023年12月31日前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2023年12月20日前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预算控制率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提升为农服务能力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稳步提升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稳步提升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提升供销社的影响力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稳步提升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稳步提升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无明显环境效益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无明显环境效益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无明显环境效益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促进一二三产业融合发展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效果显著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效果显著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为农服务农民满意度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90%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93%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填报日期：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</w:p>
    <w:sectPr>
      <w:footerReference r:id="rId3" w:type="default"/>
      <w:pgSz w:w="11906" w:h="16838"/>
      <w:pgMar w:top="1587" w:right="1587" w:bottom="1587" w:left="1587" w:header="851" w:footer="992" w:gutter="0"/>
      <w:pgNumType w:fmt="decimal"/>
      <w:cols w:space="720" w:num="1"/>
      <w:rtlGutter w:val="0"/>
      <w:docGrid w:type="lines" w:linePitch="3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9E57AF"/>
    <w:multiLevelType w:val="singleLevel"/>
    <w:tmpl w:val="C19E57AF"/>
    <w:lvl w:ilvl="0" w:tentative="0">
      <w:start w:val="2"/>
      <w:numFmt w:val="chineseCounting"/>
      <w:suff w:val="nothing"/>
      <w:lvlText w:val="（%1）"/>
      <w:lvlJc w:val="left"/>
      <w:rPr>
        <w:rFonts w:hint="eastAsia" w:ascii="楷体" w:hAnsi="楷体" w:eastAsia="楷体" w:cs="楷体"/>
        <w:sz w:val="32"/>
        <w:szCs w:val="32"/>
      </w:rPr>
    </w:lvl>
  </w:abstractNum>
  <w:abstractNum w:abstractNumId="1">
    <w:nsid w:val="DA81C459"/>
    <w:multiLevelType w:val="singleLevel"/>
    <w:tmpl w:val="DA81C459"/>
    <w:lvl w:ilvl="0" w:tentative="0">
      <w:start w:val="2"/>
      <w:numFmt w:val="chineseCounting"/>
      <w:suff w:val="nothing"/>
      <w:lvlText w:val="（%1）"/>
      <w:lvlJc w:val="left"/>
      <w:rPr>
        <w:rFonts w:hint="eastAsia" w:ascii="楷体" w:hAnsi="楷体" w:eastAsia="楷体" w:cs="楷体"/>
        <w:sz w:val="32"/>
        <w:szCs w:val="32"/>
      </w:rPr>
    </w:lvl>
  </w:abstractNum>
  <w:abstractNum w:abstractNumId="2">
    <w:nsid w:val="1113A4A2"/>
    <w:multiLevelType w:val="singleLevel"/>
    <w:tmpl w:val="1113A4A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169225C5"/>
    <w:multiLevelType w:val="singleLevel"/>
    <w:tmpl w:val="169225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iNzgxMjU3YjVmYmIxMWFmMjNjMTkyMzk0NjU3NTMifQ=="/>
  </w:docVars>
  <w:rsids>
    <w:rsidRoot w:val="5CC73AEB"/>
    <w:rsid w:val="03992C5B"/>
    <w:rsid w:val="04D06013"/>
    <w:rsid w:val="04D1736D"/>
    <w:rsid w:val="075449B1"/>
    <w:rsid w:val="07DC6755"/>
    <w:rsid w:val="08FD2E27"/>
    <w:rsid w:val="0A0A7F8B"/>
    <w:rsid w:val="0A371911"/>
    <w:rsid w:val="0CEC52A6"/>
    <w:rsid w:val="10282537"/>
    <w:rsid w:val="11026CFF"/>
    <w:rsid w:val="156E60BC"/>
    <w:rsid w:val="15E11B06"/>
    <w:rsid w:val="16B23BE3"/>
    <w:rsid w:val="18DD19B3"/>
    <w:rsid w:val="1A4B69F3"/>
    <w:rsid w:val="1BC7354C"/>
    <w:rsid w:val="20BE7648"/>
    <w:rsid w:val="20F65D78"/>
    <w:rsid w:val="217F0425"/>
    <w:rsid w:val="219E23A2"/>
    <w:rsid w:val="22586564"/>
    <w:rsid w:val="24D55897"/>
    <w:rsid w:val="28CF48F2"/>
    <w:rsid w:val="28F85103"/>
    <w:rsid w:val="2A9768ED"/>
    <w:rsid w:val="2BCF262C"/>
    <w:rsid w:val="2C7273BA"/>
    <w:rsid w:val="2E921798"/>
    <w:rsid w:val="33E67E90"/>
    <w:rsid w:val="361F652E"/>
    <w:rsid w:val="38B7797A"/>
    <w:rsid w:val="3AE10137"/>
    <w:rsid w:val="3DD671C7"/>
    <w:rsid w:val="3E4B54BF"/>
    <w:rsid w:val="401E2B47"/>
    <w:rsid w:val="406A21FA"/>
    <w:rsid w:val="40DB004A"/>
    <w:rsid w:val="48587156"/>
    <w:rsid w:val="4986331F"/>
    <w:rsid w:val="4BA206E8"/>
    <w:rsid w:val="4D6C56FA"/>
    <w:rsid w:val="561F12B3"/>
    <w:rsid w:val="58570C3F"/>
    <w:rsid w:val="58CC01A0"/>
    <w:rsid w:val="5BD577D7"/>
    <w:rsid w:val="5C20569F"/>
    <w:rsid w:val="5C82434A"/>
    <w:rsid w:val="5CC73AEB"/>
    <w:rsid w:val="5DA402F0"/>
    <w:rsid w:val="60C3659A"/>
    <w:rsid w:val="61727EDE"/>
    <w:rsid w:val="660C4E9E"/>
    <w:rsid w:val="66BC66AA"/>
    <w:rsid w:val="689A76AB"/>
    <w:rsid w:val="68ED6197"/>
    <w:rsid w:val="6A94006A"/>
    <w:rsid w:val="6AA27A00"/>
    <w:rsid w:val="6C823EF2"/>
    <w:rsid w:val="6DC13431"/>
    <w:rsid w:val="7590122F"/>
    <w:rsid w:val="78856ECF"/>
    <w:rsid w:val="7C83021D"/>
    <w:rsid w:val="7CB94E5D"/>
    <w:rsid w:val="7F60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5268</Words>
  <Characters>5660</Characters>
  <Lines>0</Lines>
  <Paragraphs>0</Paragraphs>
  <TotalTime>5</TotalTime>
  <ScaleCrop>false</ScaleCrop>
  <LinksUpToDate>false</LinksUpToDate>
  <CharactersWithSpaces>6000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2024-06-19T00:45:00Z</dcterms:created>
  <dc:creator>郑云峰</dc:creator>
  <cp:lastModifiedBy>Administrator</cp:lastModifiedBy>
  <dcterms:modified xsi:type="dcterms:W3CDTF">2024-06-26T14:11:37Z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7C112801AE1E4F218574E3E7A452B159_11</vt:lpwstr>
  </property>
</Properties>
</file>