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1213"/>
        <w:gridCol w:w="867"/>
        <w:gridCol w:w="1152"/>
        <w:gridCol w:w="1135"/>
        <w:gridCol w:w="1102"/>
        <w:gridCol w:w="11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125%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23.21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27.48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27.48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27.48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10582.18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996.72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10459.37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产业开发专项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10582.18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996.72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10459.37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38.35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18.61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19.23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12.61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15.77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0.92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6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张诗饴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2024年6月12日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07308170502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整体支出绩效自评表</w:t>
      </w:r>
    </w:p>
    <w:tbl>
      <w:tblPr>
        <w:tblStyle w:val="2"/>
        <w:tblW w:w="10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71"/>
        <w:gridCol w:w="544"/>
        <w:gridCol w:w="101"/>
        <w:gridCol w:w="1438"/>
        <w:gridCol w:w="1360"/>
        <w:gridCol w:w="1616"/>
        <w:gridCol w:w="1051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岳阳市君山产业开发区管委会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10716.16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10716.16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10716.16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10716.16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9716.16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1000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10459.37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1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（1）园区主要经济指标方面：力争到2023年底园区技工贸总收入突破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亿元，同比增长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%；完成主导产业主营业务收入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76.29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%；完成高新技术产业主营业务收入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73.22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%；完成固定资产投资总量突破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亿元；税收总额突破3亿元。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（2）招商引资方面。全面招大引强，通过产业链招商、以商招商等方式，招引一批投资额大、支撑力强、带动面广的优质项目，力争全年引进项目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个，总投资额超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（3）项目服务方面。加大产业培育，遴选优势企业进行重点培育，引导企业追加投资、技术改造或新上项目，培育规模以上工业企业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家、高新技术企业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、省级专精特新中小企业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家、国家级专精特新“小巨人”企业1家、农业产业化国家级重点龙头企业1家；常态化开展“企业家沙龙”，持续推进“送解优”行动，着力破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解企业关切的难点堵点痛点问题；落实放权赋能，完善“园区事园区办”闭环运行模式，积极承接审批赋权事项；优化营商环境，扶持实体企业稳定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发展，宣传经济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，引导建立园区企业与其他优质企业合作关系，协同其他部门多方面宣传园区主要产业，提升重点企业经济效益。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（4）规划建设方面：项目配套方面：完成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冷链物流、集中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供热站改扩建和荆江门片区绿化提质改造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启动昌泰明渠、君建明渠等项目建设。项目建设方面：推动万雨合业、国泰食品二期等项目建设，力争早日竣工投产；启动“五好园区”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扩产项目建设，形成更多工程实物量。　　</w:t>
            </w: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（1）园区主要经济指标方面：2023年，完成技工贸总收入98.96亿元，同比增长27.9%；完成主导产业主营业务收入79.26亿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，同比增长29.62%；完成高新技术产业主营业务收入79.17亿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，同比增长29.52%；完成固定资产投资总量54.07亿元，同比增长2.21%；完成税收约3.5亿元，同比增幅62.33%，其中工业税收1.48亿元，同比增长率达48.46%。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2）招商引资方面。按照四面出击、主动出击的招商引资工作要求，全力抓好“迎、回、建”工作，在打造食品加工百亿产业、推动产业能级跃升上狠抓工作新质效。2023年，园区完成新签约项目17个，合同引资额22.12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）项目服务方面。完善园区企业梯度培养体系，引导资源要素不断向优质企业倾斜，新培育规模以上工业企业9家、高新技术企业7家、省级专精特新中小企业4家、国家级专精特新“小巨人”企业1家、农业产业化国家级重点龙头企业1家。引导三利和、口口佳等9家企业启动扩能扩产项目，推动食品加工、电子信息产业进一步集聚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引导国泰食品、万雨合业与中南大学、湖南大学等高等院校建立合作关系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争取洞庭湖食品实验室“中试基地”落户园区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建成君山区食品产业链人大代表工作站，全面提升食品产业“含新量”、“含智量”、“含金量”。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4）规划建设方面：坚持“项目跟着配套走、配套围绕项目建”工作思路，把服务项目落地作为精准发力的主攻点，冷链物流项目已完成主体厂房建设，正在抓紧完成装修和扫尾工程；“五好园区”建设项目已完成初步项目评审，正抓紧完成项目前期手续办理，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明年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4月份正式启动招投标；昌泰明渠二期、君建明渠等项目已完成施工图设计、审核，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明年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上半年正式启动建设；集中供热站扩容项目已全面完成项目建设并交付使用，供气能力较去年翻番至75吨/小时，全面满足企业生产需求。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64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全年引进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招商引资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培育规模以上工业企业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9家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7家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园区技工贸总收入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98.96亿元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税收总额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3亿元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3.5亿元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省级专精特新中小企业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4家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国家级专精特新“小巨人”企业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农业产业化国家级重点龙头企业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1200万元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10716.16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根据区委区政府及党工委安排，增加对企业的补助等专项经费开支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固定资产投资总量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54.07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高新技术产业主营业务收入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73.22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79.17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招商引资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总投资额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主导产业主营业务收入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76.29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79.26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持续推进“送解优”行动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落实放权赋能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生态效益指标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保护园区周边环境卫生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推动园区周边明渠、沟壑清淤工程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启动“五好园区”等扩产项目建设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优化营商环境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推动园区周边公共基础设施建设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扶持企业发展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为企业家排忧解难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提高周边群众生活幸福指数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填表人：张诗饴 填报日期：2024年6月12日 联系电话：07308170502 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10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53"/>
        <w:gridCol w:w="683"/>
        <w:gridCol w:w="1484"/>
        <w:gridCol w:w="1232"/>
        <w:gridCol w:w="1482"/>
        <w:gridCol w:w="883"/>
        <w:gridCol w:w="931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3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产业开发专项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岳阳市君山产业开发区管委会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岳阳市君山产业开发区管委会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996.72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10459.37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10459.37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10459.37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（1）园区主要经济指标方面：力争到2023年底园区技工贸总收入突破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亿元，同比增长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%；完成主导产业主营业务收入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76.29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%；完成高新技术产业主营业务收入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73.22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%；完成固定资产投资总量突破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亿元；税收总额突破3亿元。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（2）招商引资方面。全面招大引强，通过产业链招商、以商招商等方式，招引一批投资额大、支撑力强、带动面广的优质项目，力争全年引进项目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个，总投资额超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（3）项目服务方面。加大产业培育，遴选优势企业进行重点培育，引导企业追加投资、技术改造或新上项目，培育规模以上工业企业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家、高新技术企业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、省级专精特新中小企业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家、国家级专精特新“小巨人”企业1家、农业产业化国家级重点龙头企业1家；常态化开展“企业家沙龙”，持续推进“送解优”行动，着力破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解企业关切的难点堵点痛点问题；落实放权赋能，完善“园区事园区办”闭环运行模式，积极承接审批赋权事项；优化营商环境，扶持实体企业稳定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发展，宣传经济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，引导建立园区企业与其他优质企业合作关系，协同其他部门多方面宣传园区主要产业，提升重点企业经济效益。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（4）规划建设方面：项目配套方面：完成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冷链物流、集中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供热站改扩建和荆江门片区绿化提质改造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启动昌泰明渠、君建明渠等项目建设。项目建设方面：推动万雨合业、国泰食品二期等项目建设，力争早日竣工投产；启动“五好园区”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扩产项目建设，形成更多工程实物量。　　</w:t>
            </w:r>
          </w:p>
        </w:tc>
        <w:tc>
          <w:tcPr>
            <w:tcW w:w="4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（1）园区主要经济指标方面：2023年，完成技工贸总收入98.96亿元，同比增长27.9%；完成主导产业主营业务收入79.26亿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，同比增长29.62%；完成高新技术产业主营业务收入79.17亿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，同比增长29.52%；完成固定资产投资总量54.07亿元，同比增长2.21%；完成税收约3.5亿元，同比增幅62.33%，其中工业税收1.48亿元，同比增长率达48.46%。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2）招商引资方面。按照四面出击、主动出击的招商引资工作要求，全力抓好“迎、回、建”工作，在打造食品加工百亿产业、推动产业能级跃升上狠抓工作新质效。2023年，园区完成新签约项目17个，合同引资额22.12亿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）项目服务方面。完善园区企业梯度培养体系，引导资源要素不断向优质企业倾斜，新培育规模以上工业企业9家、高新技术企业7家、省级专精特新中小企业4家、国家级专精特新“小巨人”企业1家、农业产业化国家级重点龙头企业1家。引导三利和、口口佳等9家企业启动扩能扩产项目，推动食品加工、电子信息产业进一步集聚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引导国泰食品、万雨合业与中南大学、湖南大学等高等院校建立合作关系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争取洞庭湖食品实验室“中试基地”落户园区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建成君山区食品产业链人大代表工作站，全面提升食品产业“含新量”、“含智量”、“含金量”。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4）规划建设方面：坚持“项目跟着配套走、配套围绕项目建”工作思路，把服务项目落地作为精准发力的主攻点，冷链物流项目已完成主体厂房建设，正在抓紧完成装修和扫尾工程；“五好园区”建设项目已完成初步项目评审，正抓紧完成项目前期手续办理，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明年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4月份正式启动招投标；昌泰明渠二期、君建明渠等项目已完成施工图设计、审核，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明年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上半年正式启动建设；集中供热站扩容项目已全面完成项目建设并交付使用，供气能力较去年翻番至75吨/小时，全面满足企业生产需求。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全年引进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招商引资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培育规模以上工业企业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9家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7家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园区技工贸总收入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98.96亿元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税收总额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3亿元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3.5亿元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省级专精特新中小企业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4家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国家级专精特新“小巨人”企业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农业产业化国家级重点龙头企业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1家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预算控制数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1200万元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10716.16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根据区委区政府及党工委安排，增加对企业的补助等专项经费开支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固定资产投资总量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54.07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经济效益指标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高新技术产业主营业务收入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73.22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79.17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招商引资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总投资额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主导产业主营业务收入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76.29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79.26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社会效益指标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持续推进“送解优”行动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落实放权赋能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生态效益指标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保护园区周边环境卫生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推动园区周边明渠、沟壑清淤工程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启动“五好园区”等扩产项目建设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优化营商环境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推动园区周边公共基础设施建设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扶持企业发展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为企业家排忧解难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提高周边群众生活幸福指数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张诗饴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2024年6月12日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07308170502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</w:p>
    <w:p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岳阳君山产业开发区管委会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岳阳君山产业开发区管委会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岳阳君山产业开发区管委会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君山产业开发区党工委、管委会贯彻执行中央和省、市关于产业开发区的方针政策和决策部署，根据相关法律法规和区委、区政府授权履行组织领导、发展规划、区域开发、产业发展、投资促进、协调服务等职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1.负责贯彻执行党和国家关于开发区建设的方针政策、法律法规和决策部署。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2.负责研究拟订和组织实施君山产业开发区重大发展战略、发展规划和工作计划。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负责依据君山区国土空间总体规划和产业发展规划要求及相关权限，统筹君山产业开发区建设发展空间布局。负责拟订君山产业开发区产业发展规划、产业布局、产业政策、项目准入标准等重要事项并经批准后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4.负责君山产业开发区招商引资工作，组织对外经济技术合作与交流。负责君山产业开发区基础设施、公用事业、重大项目等建设管理相关工作。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5.负责君山产业开发区优化营商环境工作，根据权限依法承担有关行政审批工作，履行行政审批服务职责。负责构建君山产业开发区创新创业服务体系，协助企业做好人才引进和服务工作。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6.负责君山产业开发区的科技创新和高新技术产业管理和服务，开展有关科技创新和高新技术产业政策研究，构建技术创新服务体系。指导区内企业建立现代化企业制度，推进高新技术产业化、国际化。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7.负责君山产业开发区党的建设和非公有制经济组织党建工作。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8.根据有关要求和职责分工，承担或协助君山产业开发区综合管理、统计、审计、信息、安全生产监督管理、生态环境保护、财政收支管理及国有资产管理等工作。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9.承办区委、区人民政府交办的其他事项。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岳阳市君山产业开发区管委会属于区财政全额预算拨款类事业单位，内设机构5个。内设机构包括：综合管理部、经济合作部、开发建设部、产业发展部、财政金融部等5个股室。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本年度基本支出为256.79万元，主要为人员薪金及社保、单位公用经费等。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本年度项目支出为10459.37万元，主要为部门业务工作经费、机关运行维护经费、资本性支出、对企业的补助、对附属单位的补助、绩效考核工资、园区周边基础设施建设项目经费及前期经费等。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本年度政府性基金预算收入1000万元，支出1000万元。主要为国泰食品退二进三转型升级补偿款。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我单位无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国有资本经营预算支出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我单位无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社会保险基金预算支出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2023年，我单位全年预算收入10716.16万元，其中，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highlight w:val="none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般公共预算9716.16万元，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政府性基金预算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收入1000万元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。支出10716.16万元。其中，基本支出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256.79万元，项目支出10459.37万元。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单位整体绩效目标完成情况如下：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园区主要经济指标方面：2023年，完成技工贸总收入98.96亿元，同比增长27.9%；完成主导产业主营业务收入79.26亿元，同比增长29.62%；完成高新技术产业主营业务收入79.17亿元，同比增长29.52%；完成固定资产投资总量54.07亿元，同比增长2.21%；完成税收约3.5亿元，同比增幅62.33%，其中工业税收1.48亿元，同比增长率达48.46%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招商引资方面。按照四面出击、主动出击的招商引资工作要求，全力抓好“迎、回、建”工作，在打造食品加工百亿产业、推动产业能级跃升上狠抓工作新质效。2023年，园区完成新签约项目17个，合同引资额22.12亿元，引导三利和、口口佳等9家企业启动扩能扩产项目，推动食品加工、电子信息产业进一步集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项目服务方面。完善园区企业梯度培养体系，引导资源要素不断向优质企业倾斜，新培育规模以上工业企业9家、高新技术企业7家、省级专精特新中小企业4家、国家级专精特新“小巨人”企业1家、农业产业化国家级重点龙头企业1家。引导国泰食品、万雨合业与中南大学、湖南大学等高等院校建立合作关系，争取洞庭湖食品实验室“中试基地”落户园区，建成君山区食品产业链人大代表工作站，全面提升食品产业“含新量”、“含智量”、“含金量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规划建设方面：坚持“项目跟着配套走、配套围绕项目建”工作思路，把服务项目落地作为精准发力的主攻点，冷链物流项目已完成主体厂房建设，正在抓紧完成装修和扫尾工程；“五好园区”建设项目已完成初步项目评审，正抓紧完成项目前期手续办理，计划明年4月份正式启动招投标；昌泰明渠二期、君建明渠等项目已完成施工图设计、审核，上半年正式启动建设；集中供热站扩容项目已全面完成项目建设并交付使用，供气能力较去年翻番至75吨/小时，全面满足企业生产需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年初预算数与全年预算数相差较大，部分项目经费及对企业的补助经费为年中预算追加。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制定年初预算时，将全年项目经费及对企业的补助经费列入预算批复内，减少年中追加预算数，提升资金到位效率。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我单位收悉区财政开展2023年度绩效自评工作通知后，积极组织开展绩效自评工作，以党工委班子成员及部室长为主组建自评小组，对全年绩效目标完成情况进行讨论汇总得出整体工作完成情况，对单位整体支出评分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无。</w:t>
      </w:r>
    </w:p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EF61E"/>
    <w:multiLevelType w:val="singleLevel"/>
    <w:tmpl w:val="EA9EF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A26897"/>
    <w:multiLevelType w:val="singleLevel"/>
    <w:tmpl w:val="2BA2689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AA94E2"/>
    <w:multiLevelType w:val="singleLevel"/>
    <w:tmpl w:val="40AA94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GEyYWExYjEyZWU1ZjBiMjU1MjQ0ZTRkMmQ0YWMifQ=="/>
    <w:docVar w:name="KSO_WPS_MARK_KEY" w:val="95d59cda-5a7f-4d99-b78d-c7d528141b9e"/>
  </w:docVars>
  <w:rsids>
    <w:rsidRoot w:val="0E2806FA"/>
    <w:rsid w:val="02005BE0"/>
    <w:rsid w:val="03536A57"/>
    <w:rsid w:val="04027CE3"/>
    <w:rsid w:val="068B011B"/>
    <w:rsid w:val="08856DEC"/>
    <w:rsid w:val="08C06E7E"/>
    <w:rsid w:val="0DE11228"/>
    <w:rsid w:val="0E2806FA"/>
    <w:rsid w:val="120C558C"/>
    <w:rsid w:val="1BB6220C"/>
    <w:rsid w:val="2192045B"/>
    <w:rsid w:val="23383C4E"/>
    <w:rsid w:val="246F4781"/>
    <w:rsid w:val="26E34FB2"/>
    <w:rsid w:val="27B7194D"/>
    <w:rsid w:val="27E014F2"/>
    <w:rsid w:val="2A563950"/>
    <w:rsid w:val="2AFD0DB5"/>
    <w:rsid w:val="2E5C7682"/>
    <w:rsid w:val="31197AAC"/>
    <w:rsid w:val="316F550D"/>
    <w:rsid w:val="317553D7"/>
    <w:rsid w:val="32AF76FC"/>
    <w:rsid w:val="3404547D"/>
    <w:rsid w:val="35D22DC1"/>
    <w:rsid w:val="39D842DB"/>
    <w:rsid w:val="3F972CD8"/>
    <w:rsid w:val="40FC0C2D"/>
    <w:rsid w:val="45AD4C75"/>
    <w:rsid w:val="49382AE4"/>
    <w:rsid w:val="4B9E3398"/>
    <w:rsid w:val="4CA27899"/>
    <w:rsid w:val="4D970721"/>
    <w:rsid w:val="4FFD46C8"/>
    <w:rsid w:val="52913715"/>
    <w:rsid w:val="54A7582E"/>
    <w:rsid w:val="54DE2973"/>
    <w:rsid w:val="569074B3"/>
    <w:rsid w:val="5A9C3280"/>
    <w:rsid w:val="5F575D54"/>
    <w:rsid w:val="62A73880"/>
    <w:rsid w:val="62CB1DCF"/>
    <w:rsid w:val="633914DA"/>
    <w:rsid w:val="6663179D"/>
    <w:rsid w:val="666E44D5"/>
    <w:rsid w:val="6B272C8C"/>
    <w:rsid w:val="6DC61F8D"/>
    <w:rsid w:val="70251764"/>
    <w:rsid w:val="738D5656"/>
    <w:rsid w:val="762A179F"/>
    <w:rsid w:val="76C42B4B"/>
    <w:rsid w:val="7B9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6545</Words>
  <Characters>7309</Characters>
  <Lines>0</Lines>
  <Paragraphs>0</Paragraphs>
  <TotalTime>114</TotalTime>
  <ScaleCrop>false</ScaleCrop>
  <LinksUpToDate>false</LinksUpToDate>
  <CharactersWithSpaces>7476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2024-06-11T02:01:00Z</dcterms:created>
  <dc:creator>偶尔能力者！</dc:creator>
  <cp:lastModifiedBy>偶尔能力者！</cp:lastModifiedBy>
  <cp:lastPrinted>2024-06-13T09:29:07Z</cp:lastPrinted>
  <dcterms:modified xsi:type="dcterms:W3CDTF">2024-06-13T09:33:39Z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465F4623725B49AABD6712A9F2A01046_13</vt:lpwstr>
  </property>
</Properties>
</file>