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岳阳市君山区钱北垸水委会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1920" w:firstLineChars="600"/>
        <w:jc w:val="both"/>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w:t>
      </w:r>
      <w:bookmarkStart w:id="0" w:name="_GoBack"/>
      <w:bookmarkEnd w:id="0"/>
      <w:r>
        <w:rPr>
          <w:rFonts w:hint="default" w:ascii="Times New Roman" w:hAnsi="Times New Roman" w:eastAsia="楷体_GB2312" w:cs="Times New Roman"/>
          <w:sz w:val="32"/>
          <w:szCs w:val="32"/>
          <w:highlight w:val="none"/>
        </w:rPr>
        <w:t>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岳阳市君山区钱北垸水委会</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pStyle w:val="9"/>
        <w:numPr>
          <w:ilvl w:val="0"/>
          <w:numId w:val="0"/>
        </w:numPr>
        <w:spacing w:before="0" w:beforeLines="0" w:after="0" w:afterLines="0"/>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1、负责区域内的堤防、运河、内湖渍堤及附属建筑物的建设管理和运作维护。</w:t>
      </w:r>
    </w:p>
    <w:p>
      <w:pPr>
        <w:pStyle w:val="9"/>
        <w:numPr>
          <w:ilvl w:val="0"/>
          <w:numId w:val="0"/>
        </w:numPr>
        <w:spacing w:before="0" w:beforeLines="0" w:after="0" w:afterLines="0"/>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2、负责钱北垸防汛物资器材及防汛仓库管理。</w:t>
      </w:r>
    </w:p>
    <w:p>
      <w:pPr>
        <w:pStyle w:val="9"/>
        <w:numPr>
          <w:ilvl w:val="0"/>
          <w:numId w:val="0"/>
        </w:numPr>
        <w:spacing w:before="0" w:beforeLines="0" w:after="0" w:afterLines="0"/>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3、协助垸内农田水利建设、规划、管理及其他水利服务工作。</w:t>
      </w:r>
    </w:p>
    <w:p>
      <w:pPr>
        <w:pStyle w:val="9"/>
        <w:numPr>
          <w:ilvl w:val="0"/>
          <w:numId w:val="0"/>
        </w:numPr>
        <w:spacing w:before="0" w:beforeLines="0" w:after="0" w:afterLines="0"/>
        <w:ind w:firstLine="640" w:firstLineChars="200"/>
        <w:jc w:val="left"/>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drawing>
          <wp:anchor distT="0" distB="0" distL="114300" distR="114300" simplePos="0" relativeHeight="251659264" behindDoc="1" locked="0" layoutInCell="1" allowOverlap="1">
            <wp:simplePos x="0" y="0"/>
            <wp:positionH relativeFrom="page">
              <wp:posOffset>-7937500</wp:posOffset>
            </wp:positionH>
            <wp:positionV relativeFrom="page">
              <wp:posOffset>482600</wp:posOffset>
            </wp:positionV>
            <wp:extent cx="7581900" cy="10706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7581900" cy="10706100"/>
                    </a:xfrm>
                    <a:prstGeom prst="rect">
                      <a:avLst/>
                    </a:prstGeom>
                    <a:noFill/>
                    <a:ln>
                      <a:noFill/>
                    </a:ln>
                  </pic:spPr>
                </pic:pic>
              </a:graphicData>
            </a:graphic>
          </wp:anchor>
        </w:drawing>
      </w:r>
      <w:r>
        <w:rPr>
          <w:rFonts w:hint="eastAsia" w:ascii="Times New Roman" w:hAnsi="Times New Roman" w:eastAsia="仿宋_GB2312" w:cs="Times New Roman"/>
          <w:kern w:val="2"/>
          <w:sz w:val="32"/>
          <w:szCs w:val="32"/>
          <w:lang w:val="en-US" w:eastAsia="zh-CN" w:bidi="ar-SA"/>
        </w:rPr>
        <w:t>4、负责水利法规的宣传、教育、咨询及协助水行政执法工作。</w:t>
      </w:r>
    </w:p>
    <w:p>
      <w:pPr>
        <w:pStyle w:val="9"/>
        <w:numPr>
          <w:ilvl w:val="0"/>
          <w:numId w:val="0"/>
        </w:numPr>
        <w:spacing w:before="0" w:beforeLines="0" w:after="0" w:afterLines="0"/>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5、完成业务主管部门及乡镇交办的其他工作任务。</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widowControl/>
        <w:spacing w:line="600" w:lineRule="exact"/>
        <w:ind w:firstLine="627" w:firstLineChars="196"/>
        <w:jc w:val="left"/>
        <w:rPr>
          <w:rFonts w:hint="default" w:ascii="Times New Roman" w:hAnsi="Times New Roman" w:eastAsia="黑体" w:cs="Times New Roman"/>
          <w:sz w:val="32"/>
          <w:szCs w:val="32"/>
          <w:highlight w:val="none"/>
        </w:rPr>
      </w:pPr>
      <w:r>
        <w:rPr>
          <w:rFonts w:hint="eastAsia" w:eastAsia="仿宋_GB2312"/>
          <w:sz w:val="32"/>
          <w:szCs w:val="32"/>
          <w:lang w:val="en-US" w:eastAsia="zh-CN"/>
        </w:rPr>
        <w:t>君山区钱北垸水委会隶属于君山区水利局二级机构。内设股室5个，分别为堤防管理站、防汛器材管理站、工程组、办公室和财务室。</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2023年本单位部门预算资金366.16万元（基本支出244.99万元，项目支出121.16万元），全年实际支出366.16万元，其中基本支出244.99万元，项目支出121.16万元，预算执行率100%。　　　　　　</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本单位2023年度全年预算366.16万元（工资福利支出145.12万元、商品和服务支出180.05万元、对个人和家庭的补助40.99万元、资本性支出0万元、），其中一般公共预算财政拨款219.32万元。本单位2023年度基本支出244.99万元，其中人员经费186.11万元，公用经费121.16万元。</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2024年本单位项目支出121.16万元，主要是本单位为完成特定工作任务或事业发展目标而发生的支出，用于日常工作提防扫障以及提防维护等方面。</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widowControl/>
        <w:spacing w:line="600" w:lineRule="exact"/>
        <w:ind w:firstLine="627" w:firstLineChars="196"/>
        <w:jc w:val="left"/>
        <w:rPr>
          <w:rFonts w:hint="default" w:eastAsia="仿宋_GB2312"/>
          <w:sz w:val="32"/>
          <w:szCs w:val="32"/>
          <w:lang w:val="en-US" w:eastAsia="zh-CN"/>
        </w:rPr>
      </w:pPr>
      <w:r>
        <w:rPr>
          <w:rFonts w:hint="eastAsia" w:eastAsia="仿宋_GB2312"/>
          <w:sz w:val="32"/>
          <w:szCs w:val="32"/>
          <w:lang w:val="en-US" w:eastAsia="zh-CN"/>
        </w:rPr>
        <w:t xml:space="preserve"> 2023年本单位无此项支出。</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widowControl/>
        <w:spacing w:line="600" w:lineRule="exact"/>
        <w:ind w:firstLine="627" w:firstLineChars="196"/>
        <w:jc w:val="left"/>
        <w:rPr>
          <w:rFonts w:hint="default" w:eastAsia="仿宋_GB2312"/>
          <w:sz w:val="32"/>
          <w:szCs w:val="32"/>
          <w:lang w:val="en-US" w:eastAsia="zh-CN"/>
        </w:rPr>
      </w:pPr>
      <w:r>
        <w:rPr>
          <w:rFonts w:hint="eastAsia" w:eastAsia="仿宋_GB2312"/>
          <w:sz w:val="32"/>
          <w:szCs w:val="32"/>
          <w:lang w:val="en-US" w:eastAsia="zh-CN"/>
        </w:rPr>
        <w:t xml:space="preserve"> 2023年本单位无此项支出。</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widowControl/>
        <w:spacing w:line="600" w:lineRule="exact"/>
        <w:ind w:firstLine="627" w:firstLineChars="196"/>
        <w:jc w:val="left"/>
        <w:rPr>
          <w:rFonts w:hint="default" w:eastAsia="仿宋_GB2312"/>
          <w:sz w:val="32"/>
          <w:szCs w:val="32"/>
          <w:lang w:val="en-US" w:eastAsia="zh-CN"/>
        </w:rPr>
      </w:pPr>
      <w:r>
        <w:rPr>
          <w:rFonts w:hint="eastAsia" w:eastAsia="仿宋_GB2312"/>
          <w:sz w:val="32"/>
          <w:szCs w:val="32"/>
          <w:lang w:val="en-US" w:eastAsia="zh-CN"/>
        </w:rPr>
        <w:t xml:space="preserve"> 2023年本单位无此项支出。</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widowControl/>
        <w:spacing w:line="600" w:lineRule="exact"/>
        <w:ind w:firstLine="627" w:firstLineChars="196"/>
        <w:jc w:val="left"/>
        <w:rPr>
          <w:rFonts w:hint="default" w:eastAsia="仿宋_GB2312"/>
          <w:sz w:val="32"/>
          <w:szCs w:val="32"/>
          <w:lang w:val="en-US" w:eastAsia="zh-CN"/>
        </w:rPr>
      </w:pPr>
      <w:r>
        <w:rPr>
          <w:rFonts w:hint="eastAsia" w:eastAsia="仿宋_GB2312"/>
          <w:sz w:val="32"/>
          <w:szCs w:val="32"/>
          <w:lang w:val="en-US" w:eastAsia="zh-CN"/>
        </w:rPr>
        <w:t>　</w:t>
      </w:r>
      <w:r>
        <w:rPr>
          <w:rFonts w:hint="default" w:eastAsia="仿宋_GB2312"/>
          <w:sz w:val="32"/>
          <w:szCs w:val="32"/>
          <w:lang w:val="en-US" w:eastAsia="zh-CN"/>
        </w:rPr>
        <w:t>2023年，</w:t>
      </w:r>
      <w:r>
        <w:rPr>
          <w:rFonts w:hint="eastAsia" w:eastAsia="仿宋_GB2312"/>
          <w:sz w:val="32"/>
          <w:szCs w:val="32"/>
          <w:lang w:val="en-US" w:eastAsia="zh-CN"/>
        </w:rPr>
        <w:t>本单位</w:t>
      </w:r>
      <w:r>
        <w:rPr>
          <w:rFonts w:hint="default" w:eastAsia="仿宋_GB2312"/>
          <w:sz w:val="32"/>
          <w:szCs w:val="32"/>
          <w:lang w:val="en-US" w:eastAsia="zh-CN"/>
        </w:rPr>
        <w:t>积极履职，资金管理规范，</w:t>
      </w:r>
      <w:r>
        <w:rPr>
          <w:rFonts w:hint="eastAsia" w:eastAsia="仿宋_GB2312"/>
          <w:sz w:val="32"/>
          <w:szCs w:val="32"/>
          <w:lang w:val="en-US" w:eastAsia="zh-CN"/>
        </w:rPr>
        <w:t>资产</w:t>
      </w:r>
      <w:r>
        <w:rPr>
          <w:rFonts w:hint="default" w:eastAsia="仿宋_GB2312"/>
          <w:sz w:val="32"/>
          <w:szCs w:val="32"/>
          <w:lang w:val="en-US" w:eastAsia="zh-CN"/>
        </w:rPr>
        <w:t>管理到位，政策执行有力，较好地完成了年度工作目标，有效发挥了财政资金的使用效率。在人员经费支出上</w:t>
      </w:r>
      <w:r>
        <w:rPr>
          <w:rFonts w:hint="eastAsia" w:eastAsia="仿宋_GB2312"/>
          <w:sz w:val="32"/>
          <w:szCs w:val="32"/>
          <w:lang w:val="en-US" w:eastAsia="zh-CN"/>
        </w:rPr>
        <w:t>，</w:t>
      </w:r>
      <w:r>
        <w:rPr>
          <w:rFonts w:hint="default" w:eastAsia="仿宋_GB2312"/>
          <w:sz w:val="32"/>
          <w:szCs w:val="32"/>
          <w:lang w:val="en-US" w:eastAsia="zh-CN"/>
        </w:rPr>
        <w:t>严格执行上级的各项制度;在</w:t>
      </w:r>
      <w:r>
        <w:rPr>
          <w:rFonts w:hint="eastAsia" w:eastAsia="仿宋_GB2312"/>
          <w:sz w:val="32"/>
          <w:szCs w:val="32"/>
          <w:lang w:val="en-US" w:eastAsia="zh-CN"/>
        </w:rPr>
        <w:t>公用</w:t>
      </w:r>
      <w:r>
        <w:rPr>
          <w:rFonts w:hint="default" w:eastAsia="仿宋_GB2312"/>
          <w:sz w:val="32"/>
          <w:szCs w:val="32"/>
          <w:lang w:val="en-US" w:eastAsia="zh-CN"/>
        </w:rPr>
        <w:t>经费使用上，</w:t>
      </w:r>
      <w:r>
        <w:rPr>
          <w:rFonts w:hint="eastAsia" w:eastAsia="仿宋_GB2312"/>
          <w:sz w:val="32"/>
          <w:szCs w:val="32"/>
          <w:lang w:val="en-US" w:eastAsia="zh-CN"/>
        </w:rPr>
        <w:t>严格执行预算</w:t>
      </w:r>
      <w:r>
        <w:rPr>
          <w:rFonts w:hint="default" w:eastAsia="仿宋_GB2312"/>
          <w:sz w:val="32"/>
          <w:szCs w:val="32"/>
          <w:lang w:val="en-US" w:eastAsia="zh-CN"/>
        </w:rPr>
        <w:t>;</w:t>
      </w:r>
      <w:r>
        <w:rPr>
          <w:rFonts w:hint="eastAsia" w:eastAsia="仿宋_GB2312"/>
          <w:sz w:val="32"/>
          <w:szCs w:val="32"/>
          <w:lang w:val="en-US" w:eastAsia="zh-CN"/>
        </w:rPr>
        <w:t>在</w:t>
      </w:r>
      <w:r>
        <w:rPr>
          <w:rFonts w:hint="default" w:eastAsia="仿宋_GB2312"/>
          <w:sz w:val="32"/>
          <w:szCs w:val="32"/>
          <w:lang w:val="en-US" w:eastAsia="zh-CN"/>
        </w:rPr>
        <w:t>“三公”经费</w:t>
      </w:r>
      <w:r>
        <w:rPr>
          <w:rFonts w:hint="eastAsia" w:eastAsia="仿宋_GB2312"/>
          <w:sz w:val="32"/>
          <w:szCs w:val="32"/>
          <w:lang w:val="en-US" w:eastAsia="zh-CN"/>
        </w:rPr>
        <w:t>开支上，</w:t>
      </w:r>
      <w:r>
        <w:rPr>
          <w:rFonts w:hint="default" w:eastAsia="仿宋_GB2312"/>
          <w:sz w:val="32"/>
          <w:szCs w:val="32"/>
          <w:lang w:val="en-US" w:eastAsia="zh-CN"/>
        </w:rPr>
        <w:t>厉行节约，从严控制</w:t>
      </w:r>
      <w:r>
        <w:rPr>
          <w:rFonts w:hint="eastAsia" w:eastAsia="仿宋_GB2312"/>
          <w:sz w:val="32"/>
          <w:szCs w:val="32"/>
          <w:lang w:val="en-US" w:eastAsia="zh-CN"/>
        </w:rPr>
        <w:t>。</w:t>
      </w:r>
      <w:r>
        <w:rPr>
          <w:rFonts w:hint="default" w:eastAsia="仿宋_GB2312"/>
          <w:sz w:val="32"/>
          <w:szCs w:val="32"/>
          <w:lang w:val="en-US" w:eastAsia="zh-CN"/>
        </w:rPr>
        <w:t xml:space="preserve">根据《部门整体支出绩效自评表》自评得分 </w:t>
      </w:r>
      <w:r>
        <w:rPr>
          <w:rFonts w:hint="eastAsia" w:eastAsia="仿宋_GB2312"/>
          <w:sz w:val="32"/>
          <w:szCs w:val="32"/>
          <w:lang w:val="en-US" w:eastAsia="zh-CN"/>
        </w:rPr>
        <w:t>98</w:t>
      </w:r>
      <w:r>
        <w:rPr>
          <w:rFonts w:hint="default" w:eastAsia="仿宋_GB2312"/>
          <w:sz w:val="32"/>
          <w:szCs w:val="32"/>
          <w:lang w:val="en-US" w:eastAsia="zh-CN"/>
        </w:rPr>
        <w:t>分(详见附表2)，部门整体支出绩效为“优”</w:t>
      </w:r>
      <w:r>
        <w:rPr>
          <w:rFonts w:hint="eastAsia" w:eastAsia="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sz w:val="30"/>
          <w:szCs w:val="30"/>
          <w:lang w:val="en-US" w:eastAsia="zh-CN"/>
        </w:rPr>
      </w:pPr>
      <w:r>
        <w:rPr>
          <w:rFonts w:hint="eastAsia"/>
          <w:b/>
          <w:bCs/>
          <w:sz w:val="30"/>
          <w:szCs w:val="30"/>
          <w:lang w:val="en-US" w:eastAsia="zh-CN"/>
        </w:rPr>
        <w:t>目标1：</w:t>
      </w:r>
      <w:r>
        <w:rPr>
          <w:rFonts w:hint="eastAsia" w:eastAsia="仿宋_GB2312"/>
          <w:sz w:val="32"/>
          <w:szCs w:val="32"/>
          <w:lang w:val="en-US" w:eastAsia="zh-CN"/>
        </w:rPr>
        <w:t>加强支部党建学习，提升党建工作形象。</w:t>
      </w:r>
    </w:p>
    <w:p>
      <w:pPr>
        <w:keepNext w:val="0"/>
        <w:keepLines w:val="0"/>
        <w:pageBreakBefore w:val="0"/>
        <w:widowControl w:val="0"/>
        <w:kinsoku/>
        <w:wordWrap/>
        <w:overflowPunct w:val="0"/>
        <w:topLinePunct w:val="0"/>
        <w:autoSpaceDE/>
        <w:autoSpaceDN/>
        <w:bidi w:val="0"/>
        <w:adjustRightInd w:val="0"/>
        <w:snapToGrid/>
        <w:spacing w:line="560" w:lineRule="exact"/>
        <w:ind w:firstLine="602" w:firstLineChars="200"/>
        <w:jc w:val="both"/>
        <w:textAlignment w:val="auto"/>
        <w:rPr>
          <w:rFonts w:hint="eastAsia" w:eastAsia="仿宋_GB2312"/>
          <w:sz w:val="32"/>
          <w:szCs w:val="32"/>
          <w:lang w:val="en-US" w:eastAsia="zh-CN"/>
        </w:rPr>
      </w:pPr>
      <w:r>
        <w:rPr>
          <w:rFonts w:hint="eastAsia"/>
          <w:b/>
          <w:bCs/>
          <w:sz w:val="30"/>
          <w:szCs w:val="30"/>
          <w:lang w:val="en-US" w:eastAsia="zh-CN"/>
        </w:rPr>
        <w:t>完成情况：</w:t>
      </w:r>
      <w:r>
        <w:rPr>
          <w:rFonts w:hint="eastAsia" w:eastAsia="仿宋_GB2312"/>
          <w:sz w:val="32"/>
          <w:szCs w:val="32"/>
          <w:lang w:val="en-US" w:eastAsia="zh-CN"/>
        </w:rPr>
        <w:t>以支部为堡垒，以党员为骨干，以深入学习贯彻习近平新时代中国特色社会主义思想和党的二十大精神为首要政治任务，狠抓政治学习。通过“两会一课”、班子会议、主题党日活动、谈话谈心等方式，不断加强全体党员的党性教育和党性修养，加强班子的团结协作。同时落实全面从严治党要求，加强问题责任整改。与每一位党员签订禁止酒后驾车、禁止打牌赌博、禁止违规吃喝责任书，健全完善考勤、经费管理、补贴发放、用车、接待等制度、严明工作纪律、落实奖惩，加强全体职工的服务意识和履职责任，上下拧成一股绳，把时间和精力用到抓管理做实事上来。</w:t>
      </w:r>
    </w:p>
    <w:p>
      <w:pPr>
        <w:ind w:firstLine="602" w:firstLineChars="200"/>
        <w:rPr>
          <w:rFonts w:hint="eastAsia" w:eastAsia="仿宋_GB2312"/>
          <w:sz w:val="32"/>
          <w:szCs w:val="32"/>
          <w:lang w:val="en-US" w:eastAsia="zh-CN"/>
        </w:rPr>
      </w:pPr>
      <w:r>
        <w:rPr>
          <w:rFonts w:hint="eastAsia"/>
          <w:b/>
          <w:bCs/>
          <w:sz w:val="30"/>
          <w:szCs w:val="30"/>
          <w:lang w:val="en-US" w:eastAsia="zh-CN"/>
        </w:rPr>
        <w:t>目标2：</w:t>
      </w:r>
      <w:r>
        <w:rPr>
          <w:rFonts w:hint="eastAsia" w:eastAsia="仿宋_GB2312"/>
          <w:sz w:val="32"/>
          <w:szCs w:val="32"/>
          <w:lang w:val="en-US" w:eastAsia="zh-CN"/>
        </w:rPr>
        <w:t>加强堤防维护。</w:t>
      </w:r>
    </w:p>
    <w:p>
      <w:pPr>
        <w:ind w:firstLine="602" w:firstLineChars="200"/>
        <w:rPr>
          <w:rFonts w:hint="eastAsia" w:eastAsia="仿宋_GB2312"/>
          <w:sz w:val="32"/>
          <w:szCs w:val="32"/>
          <w:lang w:val="en-US" w:eastAsia="zh-CN"/>
        </w:rPr>
      </w:pPr>
      <w:r>
        <w:rPr>
          <w:rFonts w:hint="eastAsia"/>
          <w:b/>
          <w:bCs/>
          <w:sz w:val="30"/>
          <w:szCs w:val="30"/>
          <w:lang w:val="en-US" w:eastAsia="zh-CN"/>
        </w:rPr>
        <w:t>完成情况：</w:t>
      </w:r>
      <w:r>
        <w:rPr>
          <w:rFonts w:hint="eastAsia" w:eastAsia="仿宋_GB2312"/>
          <w:sz w:val="32"/>
          <w:szCs w:val="32"/>
          <w:lang w:val="en-US" w:eastAsia="zh-CN"/>
        </w:rPr>
        <w:t>为保证堤防涵闸更好发挥防洪排涝效益，我们加强了对堤防涵闸的日常巡查，注重和沿堤相关村组的联系，做到及早发现问题，及时解决问题。一年来，累计巡查洞庭湖堤﹑华容河堤92次，巡查华洪运河堤35次，现场发现制止各类水事违规行为5起、配合水政、相关单位处理涉水问题4个。为保证堤容堤貌良好，根据局堤防规范化管理目标，结合河长制工作及环保工作要求，自3月至11月段，投工投劳对20.65公里的华容河堤及洞庭湖堤开展砍草除杂共9次，卫生保洁24次，清运渣土石块及各类垃圾固废物约58吨；维修整治大东哈闸消力池和滚水坝闸工作桥各1处；清除洞庭湖堤内脚构树段约2公里。目前，垸内堤容堤貌整洁美观，堤防、涵闸等工程及其附属设施保护良好，运行正常。</w:t>
      </w:r>
    </w:p>
    <w:p>
      <w:pPr>
        <w:ind w:firstLine="602" w:firstLineChars="200"/>
        <w:rPr>
          <w:rFonts w:hint="eastAsia" w:eastAsia="仿宋_GB2312"/>
          <w:sz w:val="32"/>
          <w:szCs w:val="32"/>
          <w:lang w:val="en-US" w:eastAsia="zh-CN"/>
        </w:rPr>
      </w:pPr>
      <w:r>
        <w:rPr>
          <w:rFonts w:hint="eastAsia"/>
          <w:b/>
          <w:bCs/>
          <w:sz w:val="30"/>
          <w:szCs w:val="30"/>
          <w:lang w:val="en-US" w:eastAsia="zh-CN"/>
        </w:rPr>
        <w:t>目标3：</w:t>
      </w:r>
      <w:r>
        <w:rPr>
          <w:rFonts w:hint="eastAsia" w:eastAsia="仿宋_GB2312"/>
          <w:sz w:val="32"/>
          <w:szCs w:val="32"/>
          <w:lang w:val="en-US" w:eastAsia="zh-CN"/>
        </w:rPr>
        <w:t>重点工作常抓不懈，确保安全渡汛</w:t>
      </w:r>
    </w:p>
    <w:p>
      <w:pPr>
        <w:ind w:firstLine="602" w:firstLineChars="200"/>
        <w:rPr>
          <w:sz w:val="30"/>
          <w:szCs w:val="30"/>
        </w:rPr>
      </w:pPr>
      <w:r>
        <w:rPr>
          <w:rFonts w:hint="eastAsia"/>
          <w:b/>
          <w:bCs/>
          <w:sz w:val="30"/>
          <w:szCs w:val="30"/>
          <w:lang w:val="en-US" w:eastAsia="zh-CN"/>
        </w:rPr>
        <w:t>完成情况：</w:t>
      </w:r>
      <w:r>
        <w:rPr>
          <w:rFonts w:hint="eastAsia" w:eastAsia="仿宋_GB2312"/>
          <w:sz w:val="32"/>
          <w:szCs w:val="32"/>
          <w:lang w:val="en-US" w:eastAsia="zh-CN"/>
        </w:rPr>
        <w:t>防汛抗旱是保障群众生命财产安全的头等大事。为保证安全度汛，按照“防重于抢”的原则，我垸自2月下旬开始，便对所辖的洞庭湖、采桑湖、华容河、华洪运河的堤防、涵闸等防洪工程进行了全面、细致、反复的检查，共查出各类问题7个，对这7个隐患、故障，逐一按时进行了维修保养、整治处理，并于5月份再次进行了复查和试运行。6月，对沙石、桩木､编织袋､彩条布等防汛物资进行了摸底、报备工作。主汛期，加强巡查值守实行24小时值班，时刻关注雨情、水情、工情变化，确保堤防涵闸万无一失。同时深入田间地头、围绕河湖沟渠，积极配合镇、村调水灌溉、排水抗涝，确保农业生产正常有序。10协助局规计、各设计单位，跑遍垸内河湖沟渠，完成华洪运河灌区、小型灌区2个项目前期设计。</w:t>
      </w:r>
    </w:p>
    <w:p>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ind w:firstLine="640" w:firstLineChars="200"/>
        <w:rPr>
          <w:rFonts w:hint="eastAsia"/>
          <w:sz w:val="30"/>
          <w:szCs w:val="30"/>
          <w:lang w:val="en-US" w:eastAsia="zh-CN"/>
        </w:rPr>
      </w:pPr>
      <w:r>
        <w:rPr>
          <w:rFonts w:hint="default" w:eastAsia="仿宋_GB2312"/>
          <w:sz w:val="32"/>
          <w:szCs w:val="32"/>
          <w:lang w:val="en-US" w:eastAsia="zh-CN"/>
        </w:rPr>
        <w:t>本单位资产设有专</w:t>
      </w:r>
      <w:r>
        <w:rPr>
          <w:rFonts w:hint="eastAsia" w:eastAsia="仿宋_GB2312"/>
          <w:sz w:val="32"/>
          <w:szCs w:val="32"/>
          <w:lang w:val="en-US" w:eastAsia="zh-CN"/>
        </w:rPr>
        <w:t>门人员将单位所有资产全部录入固定资产信息系统</w:t>
      </w:r>
      <w:r>
        <w:rPr>
          <w:rFonts w:hint="default" w:eastAsia="仿宋_GB2312"/>
          <w:sz w:val="32"/>
          <w:szCs w:val="32"/>
          <w:lang w:val="en-US" w:eastAsia="zh-CN"/>
        </w:rPr>
        <w:t>,</w:t>
      </w:r>
      <w:r>
        <w:rPr>
          <w:rFonts w:hint="eastAsia" w:eastAsia="仿宋_GB2312"/>
          <w:sz w:val="32"/>
          <w:szCs w:val="32"/>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eastAsia="仿宋_GB2312"/>
          <w:sz w:val="32"/>
          <w:szCs w:val="32"/>
          <w:lang w:val="en-US" w:eastAsia="zh-CN"/>
        </w:rPr>
        <w:t>,</w:t>
      </w:r>
      <w:r>
        <w:rPr>
          <w:rFonts w:hint="eastAsia" w:eastAsia="仿宋_GB2312"/>
          <w:sz w:val="32"/>
          <w:szCs w:val="32"/>
          <w:lang w:val="en-US" w:eastAsia="zh-CN"/>
        </w:rPr>
        <w:t>保障单位正常运转的同时，合理配备并有效使用资产，充分发挥了国有资产的使用效益和社会效益。</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存在的问题及原因分析</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（一）预算精准性有待进一步提高。由于预算编制具有不可预见性，年初安排预算时，对各项公用支出的分配安排缺乏统一的硬性标准，导致部分资金使用时需要进行指标调剂。</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二）预算绩效管理意识有待进一步加强，预算绩效管理的工作方法方式有待创新。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ind w:firstLine="640" w:firstLineChars="200"/>
        <w:rPr>
          <w:rFonts w:hint="default" w:eastAsia="仿宋_GB2312"/>
          <w:sz w:val="32"/>
          <w:szCs w:val="32"/>
          <w:lang w:val="en-US" w:eastAsia="zh-CN"/>
        </w:rPr>
      </w:pPr>
      <w:r>
        <w:rPr>
          <w:rFonts w:hint="eastAsia" w:eastAsia="仿宋_GB2312"/>
          <w:sz w:val="32"/>
          <w:szCs w:val="32"/>
          <w:lang w:val="en-US" w:eastAsia="zh-CN"/>
        </w:rPr>
        <w:t>财务业务水平有待进一步提高。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一）加强预算编制的前瞻性，提高预算编制水平。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二）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ind w:firstLine="640" w:firstLineChars="200"/>
        <w:rPr>
          <w:rFonts w:hint="default" w:eastAsia="仿宋_GB2312"/>
          <w:sz w:val="32"/>
          <w:szCs w:val="32"/>
          <w:lang w:val="en-US" w:eastAsia="zh-CN"/>
        </w:rPr>
      </w:pPr>
      <w:r>
        <w:rPr>
          <w:rFonts w:hint="eastAsia" w:eastAsia="仿宋_GB2312"/>
          <w:sz w:val="32"/>
          <w:szCs w:val="32"/>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ind w:firstLine="640" w:firstLineChars="200"/>
        <w:rPr>
          <w:rFonts w:hint="default" w:eastAsia="仿宋_GB2312"/>
          <w:sz w:val="32"/>
          <w:szCs w:val="32"/>
          <w:lang w:val="en-US" w:eastAsia="zh-CN"/>
        </w:rPr>
      </w:pPr>
      <w:r>
        <w:rPr>
          <w:rFonts w:hint="eastAsia" w:eastAsia="仿宋_GB2312"/>
          <w:sz w:val="32"/>
          <w:szCs w:val="32"/>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159" w:afterLines="50" w:afterAutospacing="0" w:line="60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beforeAutospacing="0" w:afterAutospacing="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0"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309"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103.29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121.16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121.16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22.38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22.38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3、</w:t>
            </w:r>
            <w:r>
              <w:rPr>
                <w:rFonts w:hint="eastAsia" w:ascii="仿宋_GB2312" w:hAnsi="仿宋_GB2312" w:eastAsia="仿宋_GB2312" w:cs="仿宋_GB2312"/>
                <w:sz w:val="20"/>
                <w:szCs w:val="20"/>
                <w:highlight w:val="none"/>
              </w:rPr>
              <w:t>提防及电排日常维护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24.35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29.02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29.02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4、水利工程秋冬维修养护项目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5、红旗四清水库维修养护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6、防汛备汛</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39.25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7、水利救灾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55.76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55.76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8、小型水库维修养护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58.89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58.89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0.85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0.26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0.23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0.23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87.47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87.47</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244.99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244.99</w:t>
            </w:r>
          </w:p>
        </w:tc>
      </w:tr>
      <w:tr>
        <w:tblPrEx>
          <w:tblCellMar>
            <w:top w:w="0" w:type="dxa"/>
            <w:left w:w="108" w:type="dxa"/>
            <w:bottom w:w="0" w:type="dxa"/>
            <w:right w:w="108" w:type="dxa"/>
          </w:tblCellMar>
        </w:tblPrEx>
        <w:trPr>
          <w:trHeight w:val="1025"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26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Lines="0" w:line="400" w:lineRule="exact"/>
        <w:ind w:firstLine="440" w:firstLineChars="200"/>
        <w:jc w:val="both"/>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吴春霞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联系电话：15673023676单位负责人签字：</w:t>
      </w:r>
      <w:r>
        <w:rPr>
          <w:rFonts w:hint="eastAsia" w:ascii="Times New Roman" w:hAnsi="Times New Roman" w:eastAsia="仿宋_GB2312" w:cs="Times New Roman"/>
          <w:sz w:val="22"/>
          <w:highlight w:val="none"/>
          <w:lang w:val="en-US" w:eastAsia="zh-CN"/>
        </w:rPr>
        <w:t>李志</w:t>
      </w: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岳阳市君山区</w:t>
            </w:r>
            <w:r>
              <w:rPr>
                <w:rFonts w:hint="eastAsia" w:ascii="仿宋_GB2312" w:hAnsi="仿宋_GB2312" w:eastAsia="仿宋_GB2312" w:cs="仿宋_GB2312"/>
                <w:color w:val="000000"/>
                <w:sz w:val="20"/>
                <w:szCs w:val="20"/>
                <w:highlight w:val="none"/>
                <w:lang w:val="en-US" w:eastAsia="zh-CN"/>
              </w:rPr>
              <w:t>钱北垸水委会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189.87</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366.16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366.16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219.32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244.99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121.16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149.05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
              </w:rPr>
              <w:t>2023年度，钱北垸水委会在区水利局党委的坚强领导下、在钱粮湖镇党委、政府的指导及支持下，全体干部职工共同努力完成了水利工程维修处险、备汛值守、堤防维护、灌溉排涝等工作任务。</w:t>
            </w:r>
          </w:p>
        </w:tc>
        <w:tc>
          <w:tcPr>
            <w:tcW w:w="4304" w:type="dxa"/>
            <w:gridSpan w:val="4"/>
            <w:tcBorders>
              <w:top w:val="single" w:color="auto" w:sz="4" w:space="0"/>
              <w:left w:val="nil"/>
              <w:bottom w:val="single" w:color="auto" w:sz="4" w:space="0"/>
              <w:right w:val="single" w:color="auto" w:sz="4" w:space="0"/>
            </w:tcBorders>
            <w:noWrap w:val="0"/>
            <w:vAlign w:val="top"/>
          </w:tcPr>
          <w:p>
            <w:pPr>
              <w:ind w:firstLine="400" w:firstLineChars="200"/>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2023年为保证堤防涵闸更好发挥防洪排涝效益，我们加强了对堤防涵闸的日常巡查，注重和沿堤相关村组的联系，做到及早发现问题，及时解决问题。一年来，累计巡查洞庭湖堤﹑华容河堤92次，巡查华洪运河堤35次，现场发现制止各类水事违规行为5起、配合水政、相关单位处理涉水问题4个。为保证堤容堤貌良好，根据局堤防规范化管理目标，结合河长制工作及环保工作要求，自3月至11月段，投工投劳对20.65公里的华容河堤及洞庭湖堤开展砍草除杂共9次，卫生保洁24次，清运渣土石块及各类垃圾固废物约58吨；维修整治大东哈闸消力池和滚水坝闸工作桥各1处；清除洞庭湖堤内脚构树段约2公里。目前，垸内堤容堤貌整洁美观，堤防、涵闸等工程及其附属设施保护良好，运行正常。防汛抗旱是保障群众生命财产安全的头等大事。为保证安全度汛，按照“防重于抢”的原则，我垸自2月下旬开始，便对所辖的洞庭湖、采桑湖、华容河、华洪运河的堤防、涵闸等防洪工程进行了全面、细致、反复的检查，共查出各类问题7个，对这7个隐患、故障，逐一按时进行了维修保养、整治处理，并于5月份再次进行了复查和试运行。6月，对沙石、桩木､编织袋､彩条布等防汛物资进行了摸底、报备工作。主汛期，加强巡查值守实行24小时值班，时刻关注雨情、水情、工情变化，确保堤防涵闸万无一失。同时深入田间地头、围绕河湖沟渠，积极配合镇、村调水灌溉、排水抗涝，确保农业生产正常有序。10协助局规计、各设计单位，跑遍垸内河湖沟渠，完成华洪运河灌区、小型灌区2个项目前期设计。</w:t>
            </w:r>
          </w:p>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
              </w:rPr>
            </w:pPr>
          </w:p>
          <w:p>
            <w:pPr>
              <w:widowControl/>
              <w:spacing w:line="240" w:lineRule="exact"/>
              <w:ind w:firstLine="400" w:firstLineChars="200"/>
              <w:jc w:val="left"/>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堤防维护长度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≥1000米/年</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保护堤防维护2024年长度48.1千米</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堤防涵闸的日常巡查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已全部完成管辖区域涵闸的日常巡查工作96次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堤防维护率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　　＝100%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9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堤防、涵闸维修保养</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lang w:val="en-US" w:eastAsia="zh-CN"/>
              </w:rPr>
              <w:t>%</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党员参与率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间接推动经济发展</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效果一般</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保证大堤安全度汛</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建设美丽湖堤</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加快湖堤标准化建设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 xml:space="preserve">吴春霞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联系电话：15673023676单位负责人签字：</w:t>
      </w:r>
      <w:r>
        <w:rPr>
          <w:rFonts w:hint="eastAsia" w:ascii="Times New Roman" w:hAnsi="Times New Roman" w:eastAsia="仿宋_GB2312" w:cs="Times New Roman"/>
          <w:sz w:val="22"/>
          <w:highlight w:val="none"/>
          <w:lang w:val="en-US" w:eastAsia="zh-CN"/>
        </w:rPr>
        <w:t>李志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jc w:val="both"/>
        <w:rPr>
          <w:rFonts w:hint="default" w:ascii="Times New Roman" w:hAnsi="Times New Roman" w:eastAsia="方正小标宋_GBK" w:cs="Times New Roman"/>
          <w:sz w:val="52"/>
          <w:szCs w:val="5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36296"/>
    <w:multiLevelType w:val="singleLevel"/>
    <w:tmpl w:val="1DD36296"/>
    <w:lvl w:ilvl="0" w:tentative="0">
      <w:start w:val="1"/>
      <w:numFmt w:val="chineseCounting"/>
      <w:suff w:val="nothing"/>
      <w:lvlText w:val="%1、"/>
      <w:lvlJc w:val="left"/>
      <w:rPr>
        <w:rFonts w:hint="eastAsia"/>
      </w:rPr>
    </w:lvl>
  </w:abstractNum>
  <w:abstractNum w:abstractNumId="1">
    <w:nsid w:val="59CC8B3D"/>
    <w:multiLevelType w:val="singleLevel"/>
    <w:tmpl w:val="59CC8B3D"/>
    <w:lvl w:ilvl="0" w:tentative="0">
      <w:start w:val="1"/>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A467A21"/>
    <w:rsid w:val="0E710FB3"/>
    <w:rsid w:val="0ECB2FF4"/>
    <w:rsid w:val="1356560D"/>
    <w:rsid w:val="16650B9E"/>
    <w:rsid w:val="1AD81A1B"/>
    <w:rsid w:val="1CB462C1"/>
    <w:rsid w:val="1F38206B"/>
    <w:rsid w:val="1F521344"/>
    <w:rsid w:val="22220C72"/>
    <w:rsid w:val="274176DD"/>
    <w:rsid w:val="29A25DE3"/>
    <w:rsid w:val="2AAD0738"/>
    <w:rsid w:val="2CB52ADF"/>
    <w:rsid w:val="2D7A1A9E"/>
    <w:rsid w:val="2E114AFB"/>
    <w:rsid w:val="36C93C0A"/>
    <w:rsid w:val="3A0164D6"/>
    <w:rsid w:val="3CAC7C7D"/>
    <w:rsid w:val="3CE26112"/>
    <w:rsid w:val="49C65963"/>
    <w:rsid w:val="4B5B6BCB"/>
    <w:rsid w:val="52CE75CF"/>
    <w:rsid w:val="55004DFD"/>
    <w:rsid w:val="57E93603"/>
    <w:rsid w:val="58670CF0"/>
    <w:rsid w:val="597B2CA5"/>
    <w:rsid w:val="59886344"/>
    <w:rsid w:val="5A5A0E47"/>
    <w:rsid w:val="5C5A0BD2"/>
    <w:rsid w:val="5CCD6BA5"/>
    <w:rsid w:val="5CF9234B"/>
    <w:rsid w:val="6516562F"/>
    <w:rsid w:val="66954A48"/>
    <w:rsid w:val="66D77B48"/>
    <w:rsid w:val="68193552"/>
    <w:rsid w:val="6AD037C8"/>
    <w:rsid w:val="70C62A07"/>
    <w:rsid w:val="77FB2982"/>
    <w:rsid w:val="7A050594"/>
    <w:rsid w:val="DFEF884A"/>
    <w:rsid w:val="FFDE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autoRedefine/>
    <w:qFormat/>
    <w:uiPriority w:val="34"/>
    <w:pPr>
      <w:ind w:firstLine="420" w:firstLineChars="200"/>
    </w:p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Normal_0"/>
    <w:unhideWhenUsed/>
    <w:qFormat/>
    <w:uiPriority w:val="0"/>
    <w:pPr>
      <w:spacing w:before="120" w:beforeLines="0" w:after="240" w:afterLines="0"/>
      <w:jc w:val="both"/>
    </w:pPr>
    <w:rPr>
      <w:rFonts w:hint="default" w:ascii="Calibri" w:hAnsi="Calibri" w:eastAsia="宋体" w:cs="Times New Roman"/>
      <w:sz w:val="22"/>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5904</Words>
  <Characters>6359</Characters>
  <Lines>0</Lines>
  <Paragraphs>0</Paragraphs>
  <TotalTime>11</TotalTime>
  <ScaleCrop>false</ScaleCrop>
  <LinksUpToDate>false</LinksUpToDate>
  <CharactersWithSpaces>6513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口天wu</cp:lastModifiedBy>
  <dcterms:modified xsi:type="dcterms:W3CDTF">2024-07-12T07:19:46Z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614D31F4A4A44B06B37FAC7205E65503_13</vt:lpwstr>
  </property>
</Properties>
</file>