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rPr>
      </w:pPr>
    </w:p>
    <w:p>
      <w:pPr>
        <w:jc w:val="center"/>
        <w:rPr>
          <w:rFonts w:hint="eastAsia" w:ascii="方正小标宋简体" w:hAnsi="方正小标宋简体" w:eastAsia="方正小标宋简体" w:cs="方正小标宋简体"/>
          <w:sz w:val="44"/>
          <w:szCs w:val="44"/>
          <w:highlight w:val="none"/>
        </w:rPr>
      </w:pPr>
    </w:p>
    <w:p>
      <w:pPr>
        <w:jc w:val="center"/>
        <w:rPr>
          <w:rFonts w:hint="eastAsia" w:ascii="方正小标宋简体" w:hAnsi="方正小标宋简体" w:eastAsia="方正小标宋简体" w:cs="方正小标宋简体"/>
          <w:sz w:val="44"/>
          <w:szCs w:val="44"/>
          <w:highlight w:val="none"/>
        </w:rPr>
      </w:pPr>
    </w:p>
    <w:p>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岳阳市君山区农业农村局</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单位名称：</w:t>
      </w:r>
      <w:r>
        <w:rPr>
          <w:rFonts w:hint="eastAsia" w:ascii="Times New Roman" w:hAnsi="Times New Roman" w:eastAsia="仿宋_GB2312" w:cs="Times New Roman"/>
          <w:sz w:val="32"/>
          <w:szCs w:val="32"/>
          <w:highlight w:val="none"/>
          <w:lang w:val="en-US" w:eastAsia="zh-CN"/>
        </w:rPr>
        <w:t>岳阳市君山区农业农村局</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 </w:t>
      </w:r>
      <w:r>
        <w:rPr>
          <w:rFonts w:hint="eastAsia" w:ascii="Times New Roman" w:hAnsi="Times New Roman" w:eastAsia="楷体_GB2312" w:cs="Times New Roman"/>
          <w:sz w:val="32"/>
          <w:szCs w:val="32"/>
          <w:highlight w:val="none"/>
          <w:lang w:val="en-US" w:eastAsia="zh-CN"/>
        </w:rPr>
        <w:t>25</w:t>
      </w:r>
      <w:r>
        <w:rPr>
          <w:rFonts w:hint="default" w:ascii="Times New Roman" w:hAnsi="Times New Roman" w:eastAsia="楷体_GB2312" w:cs="Times New Roman"/>
          <w:sz w:val="32"/>
          <w:szCs w:val="32"/>
          <w:highlight w:val="none"/>
        </w:rPr>
        <w:t xml:space="preserve"> 日</w:t>
      </w:r>
    </w:p>
    <w:p>
      <w:pPr>
        <w:jc w:val="center"/>
        <w:rPr>
          <w:rFonts w:hint="eastAsia" w:ascii="方正小标宋简体" w:hAnsi="方正小标宋简体" w:eastAsia="方正小标宋简体" w:cs="方正小标宋简体"/>
          <w:sz w:val="44"/>
          <w:szCs w:val="44"/>
          <w:highlight w:val="none"/>
          <w:lang w:val="en-US"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岳阳市君山区农业农村局</w:t>
      </w:r>
    </w:p>
    <w:p>
      <w:pPr>
        <w:jc w:val="center"/>
        <w:rPr>
          <w:rFonts w:hint="default" w:ascii="Times New Roman" w:hAnsi="Times New Roman" w:eastAsia="仿宋_GB2312" w:cs="Times New Roman"/>
          <w:sz w:val="32"/>
          <w:szCs w:val="32"/>
          <w:highlight w:val="none"/>
        </w:rPr>
      </w:pP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pStyle w:val="5"/>
        <w:jc w:val="left"/>
        <w:rPr>
          <w:rFonts w:hint="eastAsia"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rPr>
        <w:t>1.岳阳市君山区农业农村局（岳阳市君山区乡村振兴局）是区人民政府工作部门，为正科级。区委农村工作领导小组办公室设在区农业农村局，接受区委农村工作领导小组的直接领导，承担区委农村工作领导小组具体工作。区农业农村局的内设机构根据工作需要承担区委农村工作领导小组办公室相关工作，接受区委农村工作领导小组办公室的统筹协调。内设机构9个：办公室（党建办、区委农办秘书室、行政审批股）；乡村振兴局；政策法规股（农机管理股、加挂定点屠宰管理办公室牌子）；发展规划和计划财务股；农村社会事业促进股（乡村产业发展股）；农业资源保护与利用股（农业投资与农田建设股）；农产品质量安全监管股（市场信息化股）；种植业管理股（科技教育和农药管理股）；畜牧兽医和渔业渔政管理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560" w:firstLineChars="200"/>
        <w:jc w:val="both"/>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2.机构职能：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（1）统筹研究和组织实施“三农”工作的发展中长期规划、重大政策；组织起草农业农村有关规范性文件，指导农业综合执法；参与涉农的财税、价格、收储、金融保险、进出口等政策制定。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（2）统筹推动发展农村社会事业、农村公共服务、农村文化、农村基础设施和乡村治理；牵头组织改善农村人居环境；指导农村精神文明和优秀农耕文化建设。指导农业行业安全生产工作。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3）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4）负责种植业、畜牧业、渔业、农垦、农业机械化等农业各产业的监督管理；指导粮食、油料、畜禽、水产等农产品生产；组织构建现代农业产业体系、生产体系、经营体系，指导农业标准化生产；负责渔政渔港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5）负责农产品质量安全监督管理。组织开展农产品质量安全监测、追溯、风险评估，发布农产品质量安全有关信息；贯彻执行农产品质量安全国家标准，参与制定农产品质量安全地方标准并会同有关部门组织实施；指导农业检验检测体系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（6）指导农产品产地环境管理和农业清洁生产；指导设施农业、生态循环农业、节水农业发展以及农村可再生能源综合开发利用、农业生物质产业发展；牵头管理外来物种；配合做好农业资源区划工作。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7）负责有关农业生产资料和农业投入品的监督管理。配合做好农业生产资料市场体系建设；贯彻执行农业生产资料、兽药质量、兽药残留限量和残留检测方法国家标准并监督实施；组织兽医医政、兽药药政药检工作，负责执业兽医和畜禽屠宰行业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（8）负责农业防灾减灾、农作物重大病虫害防治工作。指导动植物防疫检疫体系建设，负责动植物防疫检疫工作，发布疫情并组织扑灭；配合有关部门制定血吸虫病防治工作计划并组织实施。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（9）负责农业投资管理。编制农业投资项目建设规划，提出农业投资规模和方向、扶持农业农村发展财政项目的建设，按规定权限审批农业投资项目，负责农业投资项目资金安排和监督管理。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10）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（11）指导农业农村人才工作。拟订农业农村人才队伍建设规划并组织实施，指导农业教育和农业职业技能开发，指导新型职业农民培育、农业科技人才培养和农村实用人才培训工作。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（12）负责全区巩固拓展脱贫攻坚成果同乡村振兴有效衔接工作。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right="0" w:firstLine="560" w:firstLineChars="200"/>
        <w:jc w:val="both"/>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（13）完成区委、区政府交办的其他任务。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60" w:firstLineChars="200"/>
        <w:jc w:val="both"/>
        <w:textAlignment w:val="auto"/>
        <w:rPr>
          <w:rFonts w:hint="default" w:ascii="仿宋_GB2312" w:hAnsi="仿宋_GB2312" w:eastAsia="仿宋_GB2312" w:cs="仿宋_GB2312"/>
          <w:bCs/>
          <w:kern w:val="2"/>
          <w:sz w:val="28"/>
          <w:szCs w:val="28"/>
          <w:lang w:val="en-US" w:eastAsia="zh-CN"/>
        </w:rPr>
      </w:pPr>
      <w:r>
        <w:rPr>
          <w:rFonts w:hint="eastAsia" w:ascii="仿宋_GB2312" w:hAnsi="仿宋_GB2312" w:eastAsia="仿宋_GB2312" w:cs="仿宋_GB2312"/>
          <w:bCs/>
          <w:kern w:val="2"/>
          <w:sz w:val="28"/>
          <w:szCs w:val="28"/>
          <w:lang w:val="en-US" w:eastAsia="zh-CN" w:bidi="ar-SA"/>
        </w:rPr>
        <w:t>（14）职能转变。1.统筹实施乡村振兴战略，深化农业供给侧结构性改革，提升农业发展质量，牵头组织农村人居环境整治工作，扎实推进美丽乡村建设，推动农业全面升级、农村全面进步、农民全面发展，加快实现农业农村现代化。2.加强农产品质量安全和相关农业生产资料、农业投入品的监督管理，坚持最严谨的标准、最严格的监管、最严厉的处罚、最严肃的问责，严防、严管、严控质量安全风险，让人民群众吃得放心、安心。3.深入推进简政放权，加强对行业内交叉重复以及性质相同、用途相近的农业投资项目的统筹整合，最大限度缩小项目审批范围，进一步下放审批权限，加强事中事后监管，切实提升国家支农政策效果和资金使用效益。</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9"/>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楷体_GB2312" w:cs="Times New Roman"/>
          <w:b/>
          <w:sz w:val="28"/>
          <w:szCs w:val="28"/>
          <w:highlight w:val="none"/>
        </w:rPr>
      </w:pPr>
      <w:r>
        <w:rPr>
          <w:rFonts w:hint="eastAsia" w:ascii="仿宋_GB2312" w:hAnsi="仿宋_GB2312" w:eastAsia="仿宋_GB2312" w:cs="仿宋_GB2312"/>
          <w:bCs/>
          <w:kern w:val="2"/>
          <w:sz w:val="28"/>
          <w:szCs w:val="28"/>
          <w:lang w:val="en-US" w:eastAsia="zh-CN" w:bidi="ar"/>
        </w:rPr>
        <w:t>2023年区农业农村局基本支出共计1443.83万元，主要用于人员支出1040.38万元，主要包括基本工资101.53万元，津补贴30.76万元，奖金246.90万元，绩效工资71.50万元，机关基本养老保险67.85万元，职业年金缴费11.42万元，基本医疗保险31.27万元，住房公积金112.06万元，退休费98.98万元等；公用支出403.45万元，主要包括办公费7.61万元，印刷费33.71万元，咨询费2.00万元，水电费29.77万元，差旅费4.97万元，维修费6.78万元，公务接待费4.45万元，专用材料费1.00万元，劳务费124.58万元，委托业务费29.78万元，工会经费32.28万元，公务用车运行维护费5.03万元，其他交通费17.67万元等。公用支出中“三公”经费合计9.48万元，其中公务接待费4.45万元，公务用车运行维护5.03万元等。</w:t>
      </w:r>
    </w:p>
    <w:p>
      <w:pPr>
        <w:pStyle w:val="9"/>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eastAsia="楷体_GB2312" w:cs="Times New Roman"/>
          <w:b/>
          <w:sz w:val="32"/>
          <w:szCs w:val="32"/>
          <w:highlight w:val="none"/>
          <w:lang w:val="en-US" w:eastAsia="zh-CN"/>
        </w:rPr>
      </w:pPr>
      <w:r>
        <w:rPr>
          <w:rFonts w:hint="eastAsia" w:ascii="仿宋_GB2312" w:hAnsi="仿宋_GB2312" w:eastAsia="仿宋_GB2312" w:cs="仿宋_GB2312"/>
          <w:bCs/>
          <w:kern w:val="2"/>
          <w:sz w:val="28"/>
          <w:szCs w:val="28"/>
          <w:lang w:val="en-US" w:eastAsia="zh-CN" w:bidi="ar"/>
        </w:rPr>
        <w:t>2023年各级财政安排区农业农村局专项资金共16393.32万元。其中：农田建设专项2787.86万元、棉花价格补贴专项512.05万元、农业生产发展专项4432.69万元、农业结构调整补贴专项740.50万元、农产品质量安全专项25.33万元、防灾救灾专项170.00万元、农村社会事业专项338.18万元、巩固脱贫衔接乡村振兴专项367.14万元、科技推广专项101.63万元、病虫害控制专项154.10万元、其他专项6498.70万元。以上资金的使用做到了专款专用、专账管理，进入了“一卡通”目录的项目，如耕地地力保护补贴资金、实际种粮农民一次性补贴资金等，均通过“一卡通”“阳光审批系统”打卡发放。</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pStyle w:val="9"/>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本单位无政府性基金预算支出</w:t>
      </w:r>
    </w:p>
    <w:p>
      <w:pPr>
        <w:pStyle w:val="9"/>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仿宋_GB2312" w:hAnsi="仿宋_GB2312" w:eastAsia="仿宋_GB2312" w:cs="仿宋_GB2312"/>
          <w:bCs/>
          <w:kern w:val="2"/>
          <w:sz w:val="28"/>
          <w:szCs w:val="28"/>
          <w:lang w:val="en-US" w:eastAsia="zh-CN" w:bidi="ar-SA"/>
        </w:rPr>
      </w:pPr>
      <w:r>
        <w:rPr>
          <w:rFonts w:hint="eastAsia" w:ascii="Times New Roman" w:hAnsi="Times New Roman" w:eastAsia="黑体" w:cs="Times New Roman"/>
          <w:sz w:val="32"/>
          <w:szCs w:val="32"/>
          <w:highlight w:val="none"/>
          <w:lang w:val="en-US" w:eastAsia="zh-CN"/>
        </w:rPr>
        <w:t xml:space="preserve"> </w:t>
      </w:r>
      <w:r>
        <w:rPr>
          <w:rFonts w:hint="eastAsia" w:ascii="仿宋_GB2312" w:hAnsi="仿宋_GB2312" w:eastAsia="仿宋_GB2312" w:cs="仿宋_GB2312"/>
          <w:bCs/>
          <w:kern w:val="2"/>
          <w:sz w:val="28"/>
          <w:szCs w:val="28"/>
          <w:lang w:val="en-US" w:eastAsia="zh-CN" w:bidi="ar"/>
        </w:rPr>
        <w:t xml:space="preserve">   本单位无国有资本经营预算支出</w:t>
      </w:r>
    </w:p>
    <w:p>
      <w:pPr>
        <w:pStyle w:val="9"/>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9"/>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本单位无社会保险基金预算支出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pStyle w:val="9"/>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仿宋_GB2312" w:hAnsi="仿宋_GB2312" w:eastAsia="仿宋_GB2312" w:cs="仿宋_GB2312"/>
          <w:i w:val="0"/>
          <w:caps w:val="0"/>
          <w:color w:val="000000"/>
          <w:spacing w:val="-6"/>
          <w:sz w:val="28"/>
          <w:szCs w:val="28"/>
          <w:shd w:val="clear" w:color="auto" w:fill="FFFFFF"/>
          <w:lang w:val="en-US" w:eastAsia="zh-CN"/>
        </w:rPr>
      </w:pPr>
      <w:r>
        <w:rPr>
          <w:rFonts w:hint="eastAsia" w:ascii="仿宋_GB2312" w:hAnsi="仿宋_GB2312" w:eastAsia="仿宋_GB2312" w:cs="仿宋_GB2312"/>
          <w:bCs/>
          <w:kern w:val="2"/>
          <w:sz w:val="28"/>
          <w:szCs w:val="28"/>
          <w:lang w:val="en-US" w:eastAsia="zh-CN" w:bidi="ar"/>
        </w:rPr>
        <w:t>一、全力保障粮食安全。</w:t>
      </w:r>
      <w:r>
        <w:rPr>
          <w:rFonts w:hint="eastAsia" w:ascii="仿宋_GB2312" w:hAnsi="仿宋_GB2312" w:eastAsia="仿宋_GB2312" w:cs="仿宋_GB2312"/>
          <w:i w:val="0"/>
          <w:caps w:val="0"/>
          <w:color w:val="000000"/>
          <w:spacing w:val="-6"/>
          <w:sz w:val="28"/>
          <w:szCs w:val="28"/>
          <w:shd w:val="clear" w:color="auto" w:fill="FFFFFF"/>
          <w:lang w:eastAsia="zh-CN"/>
        </w:rPr>
        <w:t>202</w:t>
      </w:r>
      <w:r>
        <w:rPr>
          <w:rFonts w:hint="eastAsia" w:ascii="仿宋_GB2312" w:hAnsi="仿宋_GB2312" w:eastAsia="仿宋_GB2312" w:cs="仿宋_GB2312"/>
          <w:i w:val="0"/>
          <w:caps w:val="0"/>
          <w:color w:val="000000"/>
          <w:spacing w:val="-6"/>
          <w:sz w:val="28"/>
          <w:szCs w:val="28"/>
          <w:shd w:val="clear" w:color="auto" w:fill="FFFFFF"/>
          <w:lang w:val="en-US" w:eastAsia="zh-CN"/>
        </w:rPr>
        <w:t>3</w:t>
      </w:r>
      <w:r>
        <w:rPr>
          <w:rFonts w:hint="eastAsia" w:ascii="仿宋_GB2312" w:hAnsi="仿宋_GB2312" w:eastAsia="仿宋_GB2312" w:cs="仿宋_GB2312"/>
          <w:i w:val="0"/>
          <w:caps w:val="0"/>
          <w:color w:val="000000"/>
          <w:spacing w:val="-6"/>
          <w:sz w:val="28"/>
          <w:szCs w:val="28"/>
          <w:shd w:val="clear" w:color="auto" w:fill="FFFFFF"/>
          <w:lang w:eastAsia="zh-CN"/>
        </w:rPr>
        <w:t>年岳阳市下达君山区粮食生产任务播种面积39</w:t>
      </w:r>
      <w:r>
        <w:rPr>
          <w:rFonts w:hint="eastAsia" w:ascii="仿宋_GB2312" w:hAnsi="仿宋_GB2312" w:eastAsia="仿宋_GB2312" w:cs="仿宋_GB2312"/>
          <w:i w:val="0"/>
          <w:caps w:val="0"/>
          <w:color w:val="000000"/>
          <w:spacing w:val="-6"/>
          <w:sz w:val="28"/>
          <w:szCs w:val="28"/>
          <w:shd w:val="clear" w:color="auto" w:fill="FFFFFF"/>
          <w:lang w:val="en-US" w:eastAsia="zh-CN"/>
        </w:rPr>
        <w:t>.7</w:t>
      </w:r>
      <w:r>
        <w:rPr>
          <w:rFonts w:hint="eastAsia" w:ascii="仿宋_GB2312" w:hAnsi="仿宋_GB2312" w:eastAsia="仿宋_GB2312" w:cs="仿宋_GB2312"/>
          <w:i w:val="0"/>
          <w:caps w:val="0"/>
          <w:color w:val="000000"/>
          <w:spacing w:val="-6"/>
          <w:sz w:val="28"/>
          <w:szCs w:val="28"/>
          <w:shd w:val="clear" w:color="auto" w:fill="FFFFFF"/>
          <w:lang w:eastAsia="zh-CN"/>
        </w:rPr>
        <w:t>万亩，粮食总产量任务14.</w:t>
      </w:r>
      <w:r>
        <w:rPr>
          <w:rFonts w:hint="eastAsia" w:ascii="仿宋_GB2312" w:hAnsi="仿宋_GB2312" w:eastAsia="仿宋_GB2312" w:cs="仿宋_GB2312"/>
          <w:i w:val="0"/>
          <w:caps w:val="0"/>
          <w:color w:val="000000"/>
          <w:spacing w:val="-6"/>
          <w:sz w:val="28"/>
          <w:szCs w:val="28"/>
          <w:shd w:val="clear" w:color="auto" w:fill="FFFFFF"/>
          <w:lang w:val="en-US" w:eastAsia="zh-CN"/>
        </w:rPr>
        <w:t>8</w:t>
      </w:r>
      <w:r>
        <w:rPr>
          <w:rFonts w:hint="eastAsia" w:ascii="仿宋_GB2312" w:hAnsi="仿宋_GB2312" w:eastAsia="仿宋_GB2312" w:cs="仿宋_GB2312"/>
          <w:i w:val="0"/>
          <w:caps w:val="0"/>
          <w:color w:val="000000"/>
          <w:spacing w:val="-6"/>
          <w:sz w:val="28"/>
          <w:szCs w:val="28"/>
          <w:shd w:val="clear" w:color="auto" w:fill="FFFFFF"/>
          <w:lang w:eastAsia="zh-CN"/>
        </w:rPr>
        <w:t>万吨</w:t>
      </w:r>
      <w:r>
        <w:rPr>
          <w:rFonts w:hint="eastAsia" w:ascii="仿宋_GB2312" w:hAnsi="仿宋_GB2312" w:eastAsia="仿宋_GB2312" w:cs="仿宋_GB2312"/>
          <w:i w:val="0"/>
          <w:caps w:val="0"/>
          <w:color w:val="000000"/>
          <w:spacing w:val="-6"/>
          <w:sz w:val="28"/>
          <w:szCs w:val="28"/>
          <w:shd w:val="clear" w:color="auto" w:fill="FFFFFF"/>
          <w:lang w:val="en-US" w:eastAsia="zh-CN"/>
        </w:rPr>
        <w:t>。</w:t>
      </w:r>
      <w:r>
        <w:rPr>
          <w:rFonts w:hint="eastAsia" w:ascii="仿宋_GB2312" w:hAnsi="仿宋_GB2312" w:eastAsia="仿宋_GB2312" w:cs="仿宋_GB2312"/>
          <w:i w:val="0"/>
          <w:caps w:val="0"/>
          <w:color w:val="000000"/>
          <w:spacing w:val="-6"/>
          <w:sz w:val="28"/>
          <w:szCs w:val="28"/>
          <w:shd w:val="clear" w:color="auto" w:fill="FFFFFF"/>
          <w:lang w:eastAsia="zh-CN"/>
        </w:rPr>
        <w:t>目前全区已完成粮食播种面积45.</w:t>
      </w:r>
      <w:r>
        <w:rPr>
          <w:rFonts w:hint="eastAsia" w:ascii="仿宋_GB2312" w:hAnsi="仿宋_GB2312" w:eastAsia="仿宋_GB2312" w:cs="仿宋_GB2312"/>
          <w:i w:val="0"/>
          <w:caps w:val="0"/>
          <w:color w:val="000000"/>
          <w:spacing w:val="-6"/>
          <w:sz w:val="28"/>
          <w:szCs w:val="28"/>
          <w:shd w:val="clear" w:color="auto" w:fill="FFFFFF"/>
          <w:lang w:val="en-US" w:eastAsia="zh-CN"/>
        </w:rPr>
        <w:t>56</w:t>
      </w:r>
      <w:r>
        <w:rPr>
          <w:rFonts w:hint="eastAsia" w:ascii="仿宋_GB2312" w:hAnsi="仿宋_GB2312" w:eastAsia="仿宋_GB2312" w:cs="仿宋_GB2312"/>
          <w:i w:val="0"/>
          <w:caps w:val="0"/>
          <w:color w:val="000000"/>
          <w:spacing w:val="-6"/>
          <w:sz w:val="28"/>
          <w:szCs w:val="28"/>
          <w:shd w:val="clear" w:color="auto" w:fill="FFFFFF"/>
          <w:lang w:eastAsia="zh-CN"/>
        </w:rPr>
        <w:t>万亩、粮食总产</w:t>
      </w:r>
      <w:r>
        <w:rPr>
          <w:rFonts w:hint="eastAsia" w:ascii="仿宋_GB2312" w:hAnsi="仿宋_GB2312" w:eastAsia="仿宋_GB2312" w:cs="仿宋_GB2312"/>
          <w:i w:val="0"/>
          <w:caps w:val="0"/>
          <w:color w:val="000000"/>
          <w:spacing w:val="-6"/>
          <w:sz w:val="28"/>
          <w:szCs w:val="28"/>
          <w:shd w:val="clear" w:color="auto" w:fill="FFFFFF"/>
          <w:lang w:val="en-US" w:eastAsia="zh-CN"/>
        </w:rPr>
        <w:t>22.4</w:t>
      </w:r>
      <w:r>
        <w:rPr>
          <w:rFonts w:hint="eastAsia" w:ascii="仿宋_GB2312" w:hAnsi="仿宋_GB2312" w:eastAsia="仿宋_GB2312" w:cs="仿宋_GB2312"/>
          <w:i w:val="0"/>
          <w:caps w:val="0"/>
          <w:color w:val="000000"/>
          <w:spacing w:val="-6"/>
          <w:sz w:val="28"/>
          <w:szCs w:val="28"/>
          <w:shd w:val="clear" w:color="auto" w:fill="FFFFFF"/>
          <w:lang w:eastAsia="zh-CN"/>
        </w:rPr>
        <w:t>万吨，</w:t>
      </w:r>
      <w:r>
        <w:rPr>
          <w:rFonts w:hint="eastAsia" w:ascii="仿宋_GB2312" w:hAnsi="仿宋_GB2312" w:eastAsia="仿宋_GB2312" w:cs="仿宋_GB2312"/>
          <w:i w:val="0"/>
          <w:caps w:val="0"/>
          <w:color w:val="000000"/>
          <w:spacing w:val="-6"/>
          <w:sz w:val="28"/>
          <w:szCs w:val="28"/>
          <w:shd w:val="clear" w:color="auto" w:fill="FFFFFF"/>
          <w:lang w:val="en-US" w:eastAsia="zh-CN"/>
        </w:rPr>
        <w:t>全区粮食生产呈现</w:t>
      </w:r>
      <w:r>
        <w:rPr>
          <w:rFonts w:hint="eastAsia" w:ascii="仿宋_GB2312" w:hAnsi="仿宋_GB2312" w:eastAsia="仿宋_GB2312" w:cs="仿宋_GB2312"/>
          <w:i w:val="0"/>
          <w:caps w:val="0"/>
          <w:color w:val="000000"/>
          <w:spacing w:val="-6"/>
          <w:sz w:val="28"/>
          <w:szCs w:val="28"/>
          <w:shd w:val="clear" w:color="auto" w:fill="FFFFFF"/>
          <w:lang w:eastAsia="zh-CN"/>
        </w:rPr>
        <w:t>稳中求进</w:t>
      </w:r>
      <w:r>
        <w:rPr>
          <w:rFonts w:hint="eastAsia" w:ascii="仿宋_GB2312" w:hAnsi="仿宋_GB2312" w:eastAsia="仿宋_GB2312" w:cs="仿宋_GB2312"/>
          <w:i w:val="0"/>
          <w:caps w:val="0"/>
          <w:color w:val="000000"/>
          <w:spacing w:val="-6"/>
          <w:sz w:val="28"/>
          <w:szCs w:val="28"/>
          <w:shd w:val="clear" w:color="auto" w:fill="FFFFFF"/>
          <w:lang w:val="en-US" w:eastAsia="zh-CN"/>
        </w:rPr>
        <w:t>的态势。</w:t>
      </w:r>
    </w:p>
    <w:p>
      <w:pPr>
        <w:pStyle w:val="9"/>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sz w:val="28"/>
          <w:szCs w:val="28"/>
          <w:shd w:val="clear" w:color="auto" w:fill="FFFFFF"/>
          <w:lang w:val="en-US" w:eastAsia="zh-CN"/>
        </w:rPr>
      </w:pPr>
      <w:r>
        <w:rPr>
          <w:rFonts w:hint="eastAsia" w:ascii="仿宋_GB2312" w:hAnsi="仿宋_GB2312" w:eastAsia="仿宋_GB2312" w:cs="仿宋_GB2312"/>
          <w:i w:val="0"/>
          <w:caps w:val="0"/>
          <w:color w:val="000000"/>
          <w:spacing w:val="-6"/>
          <w:sz w:val="28"/>
          <w:szCs w:val="28"/>
          <w:shd w:val="clear" w:color="auto" w:fill="FFFFFF"/>
          <w:lang w:val="en-US" w:eastAsia="zh-CN"/>
        </w:rPr>
        <w:t>二、强化农产品稳产保供。开展农产品质量安全监管：对我区各大生产基地、种植户上市蔬菜开展例行监测，共抽检蔬果样品260多个，未检出超标样品；在良心堡油菜花节、濠河草莓节等节会期间，针对周边时令农产品开展检测、芥菜采收季节，针对芥菜种植面积较大的乡镇开展随机抽样，均未检出超标样品；在用药高峰期，针对当季果蔬加大力度抽检，特别是豇豆专项治理方面，检测站在豇豆种植基地采取随机采样，共抽取样品30余个，未发现超标情况。开展动物疫病防控：全年共完成禽流感免疫152.8万羽、家畜口蹄疫免疫5.3万头、羊小反刍兽疫免疫0.15万只、猪瘟免疫5.1万头、鸡新城疫免疫137.48万羽，国家强制免疫病种常年免疫密度达92%以上，春秋集中免疫应免动物免疫率达100%，病死畜禽收集率100%，病死畜禽收集转运工作监管率100%。</w:t>
      </w:r>
    </w:p>
    <w:p>
      <w:pPr>
        <w:pStyle w:val="9"/>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sz w:val="28"/>
          <w:szCs w:val="28"/>
          <w:shd w:val="clear" w:color="auto" w:fill="FFFFFF"/>
          <w:lang w:val="en-US" w:eastAsia="zh-CN"/>
        </w:rPr>
      </w:pPr>
      <w:r>
        <w:rPr>
          <w:rFonts w:hint="eastAsia" w:ascii="仿宋_GB2312" w:hAnsi="仿宋_GB2312" w:eastAsia="仿宋_GB2312" w:cs="仿宋_GB2312"/>
          <w:i w:val="0"/>
          <w:caps w:val="0"/>
          <w:color w:val="000000"/>
          <w:spacing w:val="-6"/>
          <w:sz w:val="28"/>
          <w:szCs w:val="28"/>
          <w:shd w:val="clear" w:color="auto" w:fill="FFFFFF"/>
          <w:lang w:val="en-US" w:eastAsia="zh-CN"/>
        </w:rPr>
        <w:t>三、深化农业绿色发展。扎实推进化肥农药减量增效，今年已完成测土配方施肥面积74.47万亩、全区绿肥生产任务3万亩播种面积、有机肥施用达1.099万吨、全区水肥一体化应用面积3.12万亩，秸秆还田面积45.31万亩。推进“长江十年禁渔”，巩固退捕渔民保障措施，拓宽退捕渔民就业渠道，常态化开展联合执法行动，保持严管严打的高压态势。</w:t>
      </w:r>
    </w:p>
    <w:p>
      <w:pPr>
        <w:pStyle w:val="9"/>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sz w:val="28"/>
          <w:szCs w:val="28"/>
          <w:shd w:val="clear" w:color="auto" w:fill="FFFFFF"/>
          <w:lang w:val="en-US" w:eastAsia="zh-CN"/>
        </w:rPr>
      </w:pPr>
      <w:r>
        <w:rPr>
          <w:rFonts w:hint="eastAsia" w:ascii="仿宋_GB2312" w:hAnsi="仿宋_GB2312" w:eastAsia="仿宋_GB2312" w:cs="仿宋_GB2312"/>
          <w:i w:val="0"/>
          <w:caps w:val="0"/>
          <w:color w:val="000000"/>
          <w:spacing w:val="-6"/>
          <w:sz w:val="28"/>
          <w:szCs w:val="28"/>
          <w:shd w:val="clear" w:color="auto" w:fill="FFFFFF"/>
          <w:lang w:val="en-US" w:eastAsia="zh-CN"/>
        </w:rPr>
        <w:t>四、大力培育乡村产业。全力发展农产品加工业，全区农产品加工企业298家，其中，市级以上农业产业化龙头企业28家（市级20家，省级8家）。到四季度，农产品加工业总产值163.8亿元，同比增长4.7%，其中规模以上农产品加工业产值105.8亿元，增长6.6%。获评农产品产地冷链设施项目全省优秀单位。国泰食品“叶芥菜”、建新蔬菜专业合作社“大白菜”“结球甘蓝”“辣椒”“南瓜”被中国绿色食品发展中心认定为绿色食品A级产品；今年，第二十四届中国中部（湖南）农业博览会上，我区2个企业（湖南口水娃食品有限公司和岳阳嘉联生态农业股份有限公司）获金奖，我局获先进个人表彰1人。培育休闲农业及龙头企业，全区共有星级休闲农庄11个（其中五星级农庄4个、四星级农庄3个、三星级农庄4个），休闲农业总产值10.89亿元，同比增长6.1%。9月，天井山逸馨农庄通过农业休闲庄园省级评定,11月成功申报五星级休闲农业庄园。协助湖南国泰食品有限公司作为湖南重点农业龙头企业争创农业产业化国家重点龙头企业。</w:t>
      </w:r>
    </w:p>
    <w:p>
      <w:pPr>
        <w:pStyle w:val="9"/>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default" w:ascii="仿宋_GB2312" w:hAnsi="仿宋_GB2312" w:eastAsia="仿宋_GB2312" w:cs="仿宋_GB2312"/>
          <w:i w:val="0"/>
          <w:caps w:val="0"/>
          <w:color w:val="000000"/>
          <w:spacing w:val="-6"/>
          <w:sz w:val="28"/>
          <w:szCs w:val="28"/>
          <w:shd w:val="clear" w:color="auto" w:fill="FFFFFF"/>
          <w:lang w:val="en-US" w:eastAsia="zh-CN"/>
        </w:rPr>
      </w:pPr>
      <w:r>
        <w:rPr>
          <w:rFonts w:hint="eastAsia" w:ascii="仿宋_GB2312" w:hAnsi="仿宋_GB2312" w:eastAsia="仿宋_GB2312" w:cs="仿宋_GB2312"/>
          <w:i w:val="0"/>
          <w:caps w:val="0"/>
          <w:color w:val="000000"/>
          <w:spacing w:val="-6"/>
          <w:sz w:val="28"/>
          <w:szCs w:val="28"/>
          <w:shd w:val="clear" w:color="auto" w:fill="FFFFFF"/>
          <w:lang w:val="en-US" w:eastAsia="zh-CN"/>
        </w:rPr>
        <w:t>五、加快建设和美乡村。扎实开展“厕所革命”，我区2023年改厕任务1065户全部分解落实到各镇（街道）场，现已全部完成，并完成区级核查验收。组织对全区2013年以来政府组织实施新建、改造的农村户厕17815户和农村公厕41座进行全面摸排、彻底整改。摸排发现共计问题厕所2037户，已整改完成1862户，因拆迁、拆房重建等原因无法整改的144户，因未建厕屋等原因列入长期整改计划的31户。推进人居环境整治，今年来我区共组织明查、暗访36次，印发督查通报23期，发现问题900余个。截至目前，新建户厕1065个，新建公厕3座，拆除露天垃圾池426处，购置垃圾桶约5000个，沟渠疏浚472公里，绿化植树6万余株，制作门前“三包”责任牌5.4万块，卫生评比栏670块，整治农户房前乱堆乱放4800处，整治残垣断壁98处。目前共设置沟渠实名制监督公示牌168块，开展实地督查76次。我区申报中央资金2000万元人居环境整治项目，主要用于农村生活垃圾与生活污水处理，项目前期工作已完成。</w:t>
      </w:r>
    </w:p>
    <w:p>
      <w:pPr>
        <w:pStyle w:val="9"/>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1、预算编制有待更严格执行，预算编制与实际支出项目有的存在差异，专项支出有待进一步加强。</w:t>
      </w:r>
    </w:p>
    <w:p>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2、绩效管理理念有待进一步增强。虽然对绩效的理念有了一定的了解，但长期以来形成的“重安排，轻监督；重使用，轻绩效”的思想短期内还存在，认为只要资金使用合法合规就行，忽视了财政资金的使用绩效。</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1、加强预算绩效管理制度建设。完善预算绩效管理制度，制定预算绩效管理工作流程和实施细则，增强实用性和可操作性。将内部控制制度嵌入到预算绩效管理全过程，加强风险管理，优化指标体系，促进预算绩效管理的发展。</w:t>
      </w:r>
    </w:p>
    <w:p>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2、树立绩效管理理念。强化责任主体绩效意识，形成财政资金充分、有效使用的良性循环。建立覆盖所有绩效管理对象、覆盖预算管理全过程的结果运用机制，将预算绩效管理各项措施落到实处、发挥实效。</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附件：</w:t>
      </w:r>
    </w:p>
    <w:p>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1.部门整体支出绩效评价基础数据表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2.部门整体支出绩效自评表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3.项目支出绩效自评表（一个一级项目支出一张表）</w:t>
      </w:r>
    </w:p>
    <w:p>
      <w:pPr>
        <w:spacing w:after="120" w:afterLines="50"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spacing w:after="120" w:afterLines="50" w:line="600" w:lineRule="exact"/>
        <w:jc w:val="both"/>
        <w:rPr>
          <w:rFonts w:hint="eastAsia" w:ascii="方正小标宋简体" w:hAnsi="方正小标宋简体" w:eastAsia="方正小标宋简体" w:cs="方正小标宋简体"/>
          <w:sz w:val="24"/>
          <w:highlight w:val="none"/>
        </w:rPr>
      </w:pPr>
      <w:r>
        <w:rPr>
          <w:rFonts w:hint="eastAsia" w:ascii="黑体" w:hAnsi="黑体" w:eastAsia="黑体" w:cs="黑体"/>
          <w:sz w:val="32"/>
          <w:szCs w:val="32"/>
          <w:highlight w:val="none"/>
          <w:lang w:val="en-US" w:eastAsia="zh-CN"/>
        </w:rPr>
        <w:t>附件1：</w:t>
      </w: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48</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38</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79.17%</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8.37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9.49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7.02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5.04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7.02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5.04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0.00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1.35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ind w:firstLine="800" w:firstLineChars="4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4.45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18568.78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16393.32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16393.32</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1、</w:t>
            </w:r>
            <w:r>
              <w:rPr>
                <w:rFonts w:hint="eastAsia" w:ascii="仿宋_GB2312" w:hAnsi="仿宋_GB2312" w:eastAsia="仿宋_GB2312" w:cs="仿宋_GB2312"/>
                <w:sz w:val="20"/>
                <w:szCs w:val="20"/>
                <w:highlight w:val="none"/>
                <w:lang w:val="en-US" w:eastAsia="zh-CN"/>
              </w:rPr>
              <w:t>科技推广专项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50.54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101.63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101.63</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2、</w:t>
            </w:r>
            <w:r>
              <w:rPr>
                <w:rFonts w:hint="eastAsia" w:ascii="仿宋_GB2312" w:hAnsi="仿宋_GB2312" w:eastAsia="仿宋_GB2312" w:cs="仿宋_GB2312"/>
                <w:sz w:val="20"/>
                <w:szCs w:val="20"/>
                <w:highlight w:val="none"/>
                <w:lang w:val="en-US" w:eastAsia="zh-CN"/>
              </w:rPr>
              <w:t>病虫害控制专项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73.00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154.10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154.10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3、农产品质量安全专项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112.61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25.33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25.33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4、防灾救灾专项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216.00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170.00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5、农业结构调整补贴专项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540.14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740.50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740.50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6、农业生产发展专项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210.30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4432.69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4432.69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7、农村社会事业专项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120.00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338.18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338.18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8、农业资源保护专项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557.97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265.14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265.14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9、农田建设专项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1842.96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2787.86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2787.86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10、巩固脱贫衔接乡村振兴专项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1478.00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367.14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367.14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11、棉花价格补贴专项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502.94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512.05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512.05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12、其他专项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12864.33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6498.70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6498.70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484.67</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403.44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403.44</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464.65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368.27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368.27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20.02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34.74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34.74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0.43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0.43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250.00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234.84</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25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严控办公经费，及时关闭办公设备电源，做到人走灯灭等。</w:t>
            </w:r>
            <w:bookmarkStart w:id="0" w:name="_GoBack"/>
            <w:bookmarkEnd w:id="0"/>
            <w:r>
              <w:rPr>
                <w:rFonts w:hint="eastAsia" w:ascii="仿宋_GB2312" w:hAnsi="仿宋_GB2312" w:eastAsia="仿宋_GB2312" w:cs="仿宋_GB2312"/>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熊劼</w:t>
      </w:r>
      <w:r>
        <w:rPr>
          <w:rFonts w:hint="default" w:ascii="Times New Roman" w:hAnsi="Times New Roman" w:eastAsia="仿宋_GB2312" w:cs="Times New Roman"/>
          <w:sz w:val="22"/>
          <w:highlight w:val="none"/>
        </w:rPr>
        <w:t xml:space="preserve">  填报日期：</w:t>
      </w:r>
      <w:r>
        <w:rPr>
          <w:rFonts w:hint="eastAsia" w:ascii="仿宋_GB2312" w:hAnsi="仿宋_GB2312" w:eastAsia="仿宋_GB2312" w:cs="仿宋_GB2312"/>
          <w:sz w:val="22"/>
          <w:highlight w:val="none"/>
          <w:lang w:val="en-US" w:eastAsia="zh-CN"/>
        </w:rPr>
        <w:t>2024.6.24</w:t>
      </w:r>
      <w:r>
        <w:rPr>
          <w:rFonts w:hint="eastAsia" w:ascii="仿宋_GB2312" w:hAnsi="仿宋_GB2312" w:eastAsia="仿宋_GB2312" w:cs="仿宋_GB2312"/>
          <w:sz w:val="22"/>
          <w:highlight w:val="none"/>
        </w:rPr>
        <w:t xml:space="preserve">  联系电话：</w:t>
      </w:r>
      <w:r>
        <w:rPr>
          <w:rFonts w:hint="eastAsia" w:ascii="仿宋_GB2312" w:hAnsi="仿宋_GB2312" w:eastAsia="仿宋_GB2312" w:cs="仿宋_GB2312"/>
          <w:sz w:val="22"/>
          <w:highlight w:val="none"/>
          <w:lang w:val="en-US" w:eastAsia="zh-CN"/>
        </w:rPr>
        <w:t>13574705145</w:t>
      </w:r>
      <w:r>
        <w:rPr>
          <w:rFonts w:hint="default" w:ascii="Times New Roman" w:hAnsi="Times New Roman" w:eastAsia="仿宋_GB2312" w:cs="Times New Roman"/>
          <w:sz w:val="22"/>
          <w:highlight w:val="none"/>
        </w:rPr>
        <w:t xml:space="preserve">  单位负责人签字：</w:t>
      </w:r>
    </w:p>
    <w:p>
      <w:pPr>
        <w:spacing w:after="120" w:afterLines="50" w:line="600" w:lineRule="exact"/>
        <w:jc w:val="both"/>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附件2</w:t>
      </w:r>
      <w:r>
        <w:rPr>
          <w:rFonts w:hint="eastAsia" w:ascii="仿宋_GB2312" w:hAnsi="仿宋_GB2312" w:eastAsia="仿宋_GB2312" w:cs="仿宋_GB2312"/>
          <w:sz w:val="32"/>
          <w:szCs w:val="32"/>
          <w:highlight w:val="none"/>
          <w:lang w:val="en-US" w:eastAsia="zh-CN"/>
        </w:rPr>
        <w:t>：</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6"/>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trHeight w:val="36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区</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岳阳市君山区农业农村局</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1319.47</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17837.15</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17837.15</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14947.69</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1443.83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16393.32</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2889.46</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1、不断推进乡村振兴、建设美丽乡村，完成各项“三农”工作。</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2、加强农产品质量安全监管，完成各项检测任务。</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3、做好动物防疫、病死畜禽收集转运及无害化处理工作。</w:t>
            </w:r>
          </w:p>
          <w:p>
            <w:pPr>
              <w:widowControl/>
              <w:spacing w:line="240" w:lineRule="exact"/>
              <w:jc w:val="left"/>
              <w:rPr>
                <w:rFonts w:hint="default"/>
                <w:lang w:val="en-US" w:eastAsia="zh-CN"/>
              </w:rPr>
            </w:pPr>
            <w:r>
              <w:rPr>
                <w:rFonts w:hint="eastAsia" w:ascii="仿宋_GB2312" w:hAnsi="仿宋_GB2312" w:eastAsia="仿宋_GB2312" w:cs="仿宋_GB2312"/>
                <w:color w:val="000000"/>
                <w:sz w:val="20"/>
                <w:szCs w:val="20"/>
                <w:highlight w:val="none"/>
              </w:rPr>
              <w:t>4、毫不松懈抓好禁捕退捕。</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圆满完成总体目标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粮食播种面积</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≥39万亩</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45.56万亩</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国家强制免疫病种常年免疫密度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92%</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高标准农田建设项目合格率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农产品质量安全抽样合格率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任务完成时效</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本年内</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8</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资金使用成本不超过预算</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不超支</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不超支</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推动农产品加工业发展</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促进</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保障退捕渔民权益成效</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成效明显</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成效明显</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农药包装废弃物处置率</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51"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推进人居环境整治</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促进</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促进</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84" w:hRule="atLeast"/>
          <w:jc w:val="center"/>
        </w:trPr>
        <w:tc>
          <w:tcPr>
            <w:tcW w:w="1080"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群众满意度</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26"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pStyle w:val="5"/>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1"/>
          <w:szCs w:val="21"/>
          <w:highlight w:val="none"/>
        </w:rPr>
        <w:t>填表人：</w:t>
      </w:r>
      <w:r>
        <w:rPr>
          <w:rFonts w:hint="eastAsia" w:ascii="Times New Roman" w:hAnsi="Times New Roman" w:eastAsia="仿宋_GB2312" w:cs="Times New Roman"/>
          <w:sz w:val="21"/>
          <w:szCs w:val="21"/>
          <w:highlight w:val="none"/>
          <w:lang w:val="en-US" w:eastAsia="zh-CN"/>
        </w:rPr>
        <w:t>熊劼</w:t>
      </w:r>
      <w:r>
        <w:rPr>
          <w:rFonts w:hint="default" w:ascii="Times New Roman" w:hAnsi="Times New Roman" w:eastAsia="仿宋_GB2312" w:cs="Times New Roman"/>
          <w:sz w:val="21"/>
          <w:szCs w:val="21"/>
          <w:highlight w:val="none"/>
        </w:rPr>
        <w:t xml:space="preserve">  填报日期：</w:t>
      </w:r>
      <w:r>
        <w:rPr>
          <w:rFonts w:hint="eastAsia" w:ascii="仿宋_GB2312" w:hAnsi="仿宋_GB2312" w:eastAsia="仿宋_GB2312" w:cs="仿宋_GB2312"/>
          <w:sz w:val="21"/>
          <w:szCs w:val="21"/>
          <w:highlight w:val="none"/>
          <w:lang w:val="en-US" w:eastAsia="zh-CN"/>
        </w:rPr>
        <w:t>2024.6.24</w:t>
      </w:r>
      <w:r>
        <w:rPr>
          <w:rFonts w:hint="default" w:ascii="Times New Roman" w:hAnsi="Times New Roman" w:eastAsia="仿宋_GB2312" w:cs="Times New Roman"/>
          <w:sz w:val="21"/>
          <w:szCs w:val="21"/>
          <w:highlight w:val="none"/>
        </w:rPr>
        <w:t xml:space="preserve">  联系电话：</w:t>
      </w:r>
      <w:r>
        <w:rPr>
          <w:rFonts w:hint="eastAsia" w:ascii="仿宋_GB2312" w:hAnsi="仿宋_GB2312" w:eastAsia="仿宋_GB2312" w:cs="仿宋_GB2312"/>
          <w:sz w:val="21"/>
          <w:szCs w:val="21"/>
          <w:highlight w:val="none"/>
          <w:lang w:val="en-US" w:eastAsia="zh-CN"/>
        </w:rPr>
        <w:t>13574705145</w:t>
      </w:r>
      <w:r>
        <w:rPr>
          <w:rFonts w:hint="default" w:ascii="Times New Roman" w:hAnsi="Times New Roman" w:eastAsia="仿宋_GB2312" w:cs="Times New Roman"/>
          <w:sz w:val="21"/>
          <w:szCs w:val="21"/>
          <w:highlight w:val="none"/>
        </w:rPr>
        <w:t xml:space="preserve"> </w:t>
      </w:r>
      <w:r>
        <w:rPr>
          <w:rFonts w:hint="eastAsia"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sz w:val="21"/>
          <w:szCs w:val="21"/>
          <w:highlight w:val="none"/>
        </w:rPr>
        <w:t>单位负责人签字：</w:t>
      </w:r>
      <w:r>
        <w:rPr>
          <w:rFonts w:hint="default" w:ascii="Times New Roman" w:hAnsi="Times New Roman" w:eastAsia="仿宋_GB2312" w:cs="Times New Roman"/>
          <w:sz w:val="21"/>
          <w:szCs w:val="21"/>
          <w:highlight w:val="none"/>
        </w:rPr>
        <w:br w:type="page"/>
      </w:r>
      <w:r>
        <w:rPr>
          <w:rFonts w:hint="eastAsia" w:ascii="黑体" w:hAnsi="黑体" w:eastAsia="黑体" w:cs="黑体"/>
          <w:sz w:val="32"/>
          <w:szCs w:val="32"/>
          <w:highlight w:val="none"/>
          <w:lang w:val="en-US" w:eastAsia="zh-CN"/>
        </w:rPr>
        <w:t>附件3：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040"/>
        <w:gridCol w:w="1228"/>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化肥减量增效专项资金</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42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岳阳市君山区农业农村局</w:t>
            </w:r>
          </w:p>
        </w:tc>
        <w:tc>
          <w:tcPr>
            <w:tcW w:w="1228"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农业资源保护与利用股</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42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4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424"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lang w:val="en-US" w:eastAsia="zh-CN"/>
              </w:rPr>
            </w:pPr>
            <w:r>
              <w:rPr>
                <w:rFonts w:hint="eastAsia" w:ascii="仿宋_GB2312" w:hAnsi="仿宋_GB2312" w:eastAsia="仿宋_GB2312" w:cs="仿宋_GB2312"/>
                <w:color w:val="000000"/>
                <w:sz w:val="20"/>
                <w:szCs w:val="20"/>
                <w:highlight w:val="none"/>
                <w:lang w:val="en-US" w:eastAsia="zh-CN"/>
              </w:rPr>
              <w:t>完成300个取土化验，推广1000吨专用配方肥，完成受污染耕地安全利用治理面积1600亩，稻谷抽检30个。</w:t>
            </w:r>
          </w:p>
        </w:tc>
        <w:tc>
          <w:tcPr>
            <w:tcW w:w="434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完成了300个取土化验，推广了1000吨专用配方肥，完成了受污染耕地安全利用治理面积1600亩，稻谷抽检30个。</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取土化验</w:t>
            </w:r>
          </w:p>
        </w:tc>
        <w:tc>
          <w:tcPr>
            <w:tcW w:w="10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300个</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推广配方肥</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1000吨</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受污染耕地安全利用治理</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1600亩</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稻谷抽检</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30个</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稻谷检测</w:t>
            </w:r>
          </w:p>
        </w:tc>
        <w:tc>
          <w:tcPr>
            <w:tcW w:w="10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全部合格</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年度</w:t>
            </w:r>
          </w:p>
        </w:tc>
        <w:tc>
          <w:tcPr>
            <w:tcW w:w="10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1年</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按时完成</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节本增效</w:t>
            </w:r>
          </w:p>
        </w:tc>
        <w:tc>
          <w:tcPr>
            <w:tcW w:w="10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节约种植成本</w:t>
            </w:r>
            <w:r>
              <w:rPr>
                <w:rFonts w:hint="eastAsia" w:ascii="仿宋_GB2312" w:hAnsi="仿宋_GB2312" w:eastAsia="仿宋_GB2312" w:cs="仿宋_GB2312"/>
                <w:color w:val="000000"/>
                <w:sz w:val="20"/>
                <w:szCs w:val="20"/>
                <w:highlight w:val="none"/>
                <w:lang w:val="en-US" w:eastAsia="zh-CN"/>
              </w:rPr>
              <w:t>100元/亩</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摸清土壤质量</w:t>
            </w:r>
          </w:p>
        </w:tc>
        <w:tc>
          <w:tcPr>
            <w:tcW w:w="10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土壤质量状况分析</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提供施肥指导建议</w:t>
            </w:r>
          </w:p>
        </w:tc>
        <w:tc>
          <w:tcPr>
            <w:tcW w:w="10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测土配方施肥建议卡</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保护生态</w:t>
            </w:r>
          </w:p>
        </w:tc>
        <w:tc>
          <w:tcPr>
            <w:tcW w:w="10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化肥用量减少</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耕地保护地理提升</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持续推进</w:t>
            </w: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满意度</w:t>
            </w:r>
          </w:p>
        </w:tc>
        <w:tc>
          <w:tcPr>
            <w:tcW w:w="10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100%满意</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胡辉平</w:t>
      </w:r>
      <w:r>
        <w:rPr>
          <w:rFonts w:hint="default" w:ascii="Times New Roman" w:hAnsi="Times New Roman" w:eastAsia="仿宋_GB2312" w:cs="Times New Roman"/>
          <w:sz w:val="22"/>
          <w:szCs w:val="22"/>
          <w:highlight w:val="none"/>
        </w:rPr>
        <w:t xml:space="preserve"> 填报日期：</w:t>
      </w:r>
      <w:r>
        <w:rPr>
          <w:rFonts w:hint="eastAsia" w:ascii="仿宋_GB2312" w:hAnsi="仿宋_GB2312" w:eastAsia="仿宋_GB2312" w:cs="仿宋_GB2312"/>
          <w:sz w:val="22"/>
          <w:szCs w:val="22"/>
          <w:highlight w:val="none"/>
          <w:lang w:val="en-US" w:eastAsia="zh-CN"/>
        </w:rPr>
        <w:t>2024.6.19</w:t>
      </w:r>
      <w:r>
        <w:rPr>
          <w:rFonts w:hint="default" w:ascii="Times New Roman" w:hAnsi="Times New Roman" w:eastAsia="仿宋_GB2312" w:cs="Times New Roman"/>
          <w:sz w:val="22"/>
          <w:szCs w:val="22"/>
          <w:highlight w:val="none"/>
        </w:rPr>
        <w:t xml:space="preserve"> 联系电话：</w:t>
      </w:r>
      <w:r>
        <w:rPr>
          <w:rFonts w:hint="eastAsia" w:ascii="仿宋_GB2312" w:hAnsi="仿宋_GB2312" w:eastAsia="仿宋_GB2312" w:cs="仿宋_GB2312"/>
          <w:sz w:val="22"/>
          <w:szCs w:val="22"/>
          <w:highlight w:val="none"/>
          <w:lang w:val="en-US" w:eastAsia="zh-CN"/>
        </w:rPr>
        <w:t>13975062735</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pPr>
        <w:pStyle w:val="5"/>
        <w:rPr>
          <w:rFonts w:hint="default" w:ascii="黑体" w:hAnsi="黑体" w:eastAsia="黑体" w:cs="黑体"/>
          <w:sz w:val="32"/>
          <w:szCs w:val="32"/>
          <w:highlight w:val="none"/>
          <w:lang w:val="en-US" w:eastAsia="zh-CN"/>
        </w:rPr>
      </w:pPr>
    </w:p>
    <w:p>
      <w:pPr>
        <w:widowControl/>
        <w:spacing w:line="600" w:lineRule="exact"/>
        <w:jc w:val="left"/>
        <w:rPr>
          <w:rFonts w:hint="eastAsia" w:ascii="Times New Roman" w:hAnsi="Times New Roman" w:eastAsia="黑体" w:cs="Times New Roman"/>
          <w:sz w:val="32"/>
          <w:szCs w:val="32"/>
          <w:highlight w:val="none"/>
          <w:lang w:eastAsia="zh-CN"/>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fixed"/>
        <w:tblCellMar>
          <w:top w:w="0" w:type="dxa"/>
          <w:left w:w="108" w:type="dxa"/>
          <w:bottom w:w="0" w:type="dxa"/>
          <w:right w:w="108" w:type="dxa"/>
        </w:tblCellMar>
      </w:tblPr>
      <w:tblGrid>
        <w:gridCol w:w="1080"/>
        <w:gridCol w:w="1086"/>
        <w:gridCol w:w="1074"/>
        <w:gridCol w:w="1776"/>
        <w:gridCol w:w="1020"/>
        <w:gridCol w:w="1140"/>
        <w:gridCol w:w="720"/>
        <w:gridCol w:w="705"/>
        <w:gridCol w:w="1250"/>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禁捕退捕专项经费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95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岳阳市君山区农业农村局</w:t>
            </w:r>
          </w:p>
        </w:tc>
        <w:tc>
          <w:tcPr>
            <w:tcW w:w="114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267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岳阳市君山区渔政管理站</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3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956"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81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956"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目标1：强化组织领导，确保各方责任“扛得牢”</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目标2：强化转产就业，确保退捕渔民“退得出”</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目标3：强化联防联控，确保非法捕捞“禁得了”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目标4：强化长效机制，确保十年禁渔“稳得住”　　</w:t>
            </w:r>
          </w:p>
        </w:tc>
        <w:tc>
          <w:tcPr>
            <w:tcW w:w="381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君山区管理江湖河岸线148.4公里，公共水域25万亩。区委区政府把落实好长江重点水域禁捕退捕，作为扛牢“守护好一江碧水”首倡地责任的关键举措，坚持从细、从实、从严推进“禁捕‘攻坚战’、退捕‘系统战’、十年禁渔‘持久战’”，全区禁捕退捕工作取得阶段性成效。</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7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禁捕警示牌、印发宣传资料</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10000份</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10035份</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联合执法次数</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40次以上</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45次</w:t>
            </w:r>
            <w:r>
              <w:rPr>
                <w:rFonts w:hint="eastAsia" w:ascii="仿宋_GB2312" w:hAnsi="仿宋_GB2312" w:eastAsia="仿宋_GB2312" w:cs="仿宋_GB2312"/>
                <w:color w:val="000000"/>
                <w:sz w:val="20"/>
                <w:szCs w:val="20"/>
                <w:highlight w:val="none"/>
              </w:rPr>
              <w:t>　</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7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水生生物资源养护</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提升明显</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提升明显</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渔政执法能力</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提升明显</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提升明显</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7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项目按时完成率</w:t>
            </w:r>
          </w:p>
        </w:tc>
        <w:tc>
          <w:tcPr>
            <w:tcW w:w="10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100%</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7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禁捕退捕运行保障</w:t>
            </w:r>
          </w:p>
        </w:tc>
        <w:tc>
          <w:tcPr>
            <w:tcW w:w="10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100万元</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100万元</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多部门联合执法</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8次以上</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9次</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解决就业情况</w:t>
            </w:r>
          </w:p>
        </w:tc>
        <w:tc>
          <w:tcPr>
            <w:tcW w:w="10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30人以上</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50个</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违规捕捞行为</w:t>
            </w:r>
          </w:p>
        </w:tc>
        <w:tc>
          <w:tcPr>
            <w:tcW w:w="10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明显减少</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明显减少</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保护水生生物效果</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促年增加</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促年增加</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促进长江流域重点水域生态环境修复</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明显</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明显</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6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促进本区域生态环境健康发展</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明显</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明显</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6"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渔业生产经营主体合规经营意识</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明显增强</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明显增强</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市民对水生生物资源的保护意识</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明显增强</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明显增强</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6"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4"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7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渔业执法当事人满意度</w:t>
            </w:r>
          </w:p>
        </w:tc>
        <w:tc>
          <w:tcPr>
            <w:tcW w:w="10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≥98%　</w:t>
            </w:r>
          </w:p>
        </w:tc>
        <w:tc>
          <w:tcPr>
            <w:tcW w:w="11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97%</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加大保护区禁钓宣传力度，争取市民理解 </w:t>
            </w:r>
          </w:p>
        </w:tc>
      </w:tr>
      <w:tr>
        <w:tblPrEx>
          <w:tblCellMar>
            <w:top w:w="0" w:type="dxa"/>
            <w:left w:w="108" w:type="dxa"/>
            <w:bottom w:w="0" w:type="dxa"/>
            <w:right w:w="108" w:type="dxa"/>
          </w:tblCellMar>
        </w:tblPrEx>
        <w:trPr>
          <w:jc w:val="center"/>
        </w:trPr>
        <w:tc>
          <w:tcPr>
            <w:tcW w:w="7176"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2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eastAsia" w:ascii="仿宋_GB2312" w:hAnsi="仿宋_GB2312" w:eastAsia="仿宋_GB2312" w:cs="仿宋_GB2312"/>
          <w:sz w:val="22"/>
          <w:szCs w:val="22"/>
          <w:highlight w:val="none"/>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sz w:val="22"/>
          <w:szCs w:val="22"/>
          <w:highlight w:val="none"/>
          <w:lang w:val="en-US" w:eastAsia="zh-CN"/>
        </w:rPr>
        <w:t>汪敏</w:t>
      </w:r>
      <w:r>
        <w:rPr>
          <w:rFonts w:hint="eastAsia" w:ascii="仿宋_GB2312" w:hAnsi="仿宋_GB2312" w:eastAsia="仿宋_GB2312" w:cs="仿宋_GB2312"/>
          <w:sz w:val="22"/>
          <w:szCs w:val="22"/>
          <w:highlight w:val="none"/>
        </w:rPr>
        <w:t xml:space="preserve">  填报日期： </w:t>
      </w:r>
      <w:r>
        <w:rPr>
          <w:rFonts w:hint="eastAsia" w:ascii="仿宋_GB2312" w:hAnsi="仿宋_GB2312" w:eastAsia="仿宋_GB2312" w:cs="仿宋_GB2312"/>
          <w:sz w:val="22"/>
          <w:szCs w:val="22"/>
          <w:highlight w:val="none"/>
          <w:lang w:val="en-US" w:eastAsia="zh-CN"/>
        </w:rPr>
        <w:t>2024.6.15</w:t>
      </w:r>
      <w:r>
        <w:rPr>
          <w:rFonts w:hint="eastAsia" w:ascii="仿宋_GB2312" w:hAnsi="仿宋_GB2312" w:eastAsia="仿宋_GB2312" w:cs="仿宋_GB2312"/>
          <w:sz w:val="22"/>
          <w:szCs w:val="22"/>
          <w:highlight w:val="none"/>
        </w:rPr>
        <w:t xml:space="preserve">联系电话： </w:t>
      </w:r>
      <w:r>
        <w:rPr>
          <w:rFonts w:hint="eastAsia" w:ascii="仿宋_GB2312" w:hAnsi="仿宋_GB2312" w:eastAsia="仿宋_GB2312" w:cs="仿宋_GB2312"/>
          <w:sz w:val="22"/>
          <w:szCs w:val="22"/>
          <w:highlight w:val="none"/>
          <w:lang w:val="en-US" w:eastAsia="zh-CN"/>
        </w:rPr>
        <w:t>13975003755</w:t>
      </w:r>
      <w:r>
        <w:rPr>
          <w:rFonts w:hint="eastAsia" w:ascii="仿宋_GB2312" w:hAnsi="仿宋_GB2312" w:eastAsia="仿宋_GB2312" w:cs="仿宋_GB2312"/>
          <w:sz w:val="22"/>
          <w:szCs w:val="22"/>
          <w:highlight w:val="none"/>
        </w:rPr>
        <w:t xml:space="preserve">   单位负责人签字：</w:t>
      </w:r>
    </w:p>
    <w:p>
      <w:pPr>
        <w:pStyle w:val="5"/>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87"/>
        <w:gridCol w:w="1081"/>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2023年农田建设项目区级配套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7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岳阳市君山区农业农村局</w:t>
            </w:r>
          </w:p>
        </w:tc>
        <w:tc>
          <w:tcPr>
            <w:tcW w:w="1081"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区农业农村局农田建设股</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8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1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w:t>
            </w:r>
          </w:p>
        </w:tc>
        <w:tc>
          <w:tcPr>
            <w:tcW w:w="10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w:t>
            </w:r>
          </w:p>
        </w:tc>
        <w:tc>
          <w:tcPr>
            <w:tcW w:w="11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w:t>
            </w:r>
          </w:p>
        </w:tc>
        <w:tc>
          <w:tcPr>
            <w:tcW w:w="10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71"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0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71"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lang w:val="en-US" w:eastAsia="zh-CN"/>
              </w:rPr>
            </w:pPr>
            <w:r>
              <w:rPr>
                <w:rFonts w:hint="eastAsia" w:ascii="仿宋_GB2312" w:hAnsi="仿宋_GB2312" w:eastAsia="仿宋_GB2312" w:cs="仿宋_GB2312"/>
                <w:color w:val="000000"/>
                <w:sz w:val="20"/>
                <w:szCs w:val="20"/>
                <w:highlight w:val="none"/>
                <w:lang w:val="en-US" w:eastAsia="zh-CN"/>
              </w:rPr>
              <w:t>对2023年柳林洲街道办事处、钱粮湖镇、许市镇、广兴洲镇、良心堡镇农田基本建设补短板。</w:t>
            </w:r>
          </w:p>
        </w:tc>
        <w:tc>
          <w:tcPr>
            <w:tcW w:w="420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全部完成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农田补短板</w:t>
            </w:r>
          </w:p>
        </w:tc>
        <w:tc>
          <w:tcPr>
            <w:tcW w:w="11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覆盖所有街道、乡镇</w:t>
            </w:r>
          </w:p>
        </w:tc>
        <w:tc>
          <w:tcPr>
            <w:tcW w:w="10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质量等级</w:t>
            </w:r>
          </w:p>
        </w:tc>
        <w:tc>
          <w:tcPr>
            <w:tcW w:w="11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合格</w:t>
            </w:r>
          </w:p>
        </w:tc>
        <w:tc>
          <w:tcPr>
            <w:tcW w:w="10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合格</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年度</w:t>
            </w:r>
          </w:p>
        </w:tc>
        <w:tc>
          <w:tcPr>
            <w:tcW w:w="11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1年</w:t>
            </w:r>
          </w:p>
        </w:tc>
        <w:tc>
          <w:tcPr>
            <w:tcW w:w="10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按时完成</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资金使用成本不超过预算</w:t>
            </w:r>
          </w:p>
        </w:tc>
        <w:tc>
          <w:tcPr>
            <w:tcW w:w="1187"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不超支</w:t>
            </w:r>
          </w:p>
        </w:tc>
        <w:tc>
          <w:tcPr>
            <w:tcW w:w="108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不超支</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0"/>
                <w:szCs w:val="20"/>
                <w:highlight w:val="none"/>
                <w:lang w:eastAsia="zh-CN"/>
              </w:rPr>
            </w:pPr>
            <w:r>
              <w:rPr>
                <w:rFonts w:hint="eastAsia" w:eastAsia="仿宋_GB2312"/>
                <w:sz w:val="20"/>
                <w:szCs w:val="20"/>
                <w:lang w:val="en-US" w:eastAsia="zh-CN"/>
              </w:rPr>
              <w:t>推动</w:t>
            </w:r>
            <w:r>
              <w:rPr>
                <w:rFonts w:hint="eastAsia" w:eastAsia="仿宋_GB2312"/>
                <w:sz w:val="20"/>
                <w:szCs w:val="20"/>
              </w:rPr>
              <w:t>农民增收</w:t>
            </w:r>
          </w:p>
        </w:tc>
        <w:tc>
          <w:tcPr>
            <w:tcW w:w="1187"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0"/>
                <w:szCs w:val="20"/>
                <w:highlight w:val="none"/>
                <w:lang w:eastAsia="zh-CN"/>
              </w:rPr>
            </w:pPr>
            <w:r>
              <w:rPr>
                <w:rFonts w:hint="eastAsia" w:eastAsia="仿宋_GB2312"/>
                <w:sz w:val="20"/>
                <w:szCs w:val="20"/>
                <w:lang w:val="en-US" w:eastAsia="zh-CN"/>
              </w:rPr>
              <w:t>促进</w:t>
            </w:r>
          </w:p>
        </w:tc>
        <w:tc>
          <w:tcPr>
            <w:tcW w:w="1081"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0"/>
                <w:szCs w:val="20"/>
                <w:highlight w:val="none"/>
                <w:lang w:eastAsia="zh-CN"/>
              </w:rPr>
            </w:pPr>
            <w:r>
              <w:rPr>
                <w:rFonts w:hint="eastAsia" w:eastAsia="仿宋_GB2312"/>
                <w:sz w:val="20"/>
                <w:szCs w:val="20"/>
              </w:rPr>
              <w:t>补齐农业生产短板，减灾增效</w:t>
            </w:r>
          </w:p>
        </w:tc>
        <w:tc>
          <w:tcPr>
            <w:tcW w:w="1187"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0"/>
                <w:szCs w:val="20"/>
                <w:highlight w:val="none"/>
                <w:lang w:eastAsia="zh-CN"/>
              </w:rPr>
            </w:pPr>
            <w:r>
              <w:rPr>
                <w:rFonts w:hint="eastAsia" w:eastAsia="仿宋_GB2312"/>
                <w:sz w:val="20"/>
                <w:szCs w:val="20"/>
              </w:rPr>
              <w:t>受灾减少</w:t>
            </w:r>
          </w:p>
        </w:tc>
        <w:tc>
          <w:tcPr>
            <w:tcW w:w="1081"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sz w:val="20"/>
                <w:szCs w:val="20"/>
                <w:highlight w:val="none"/>
                <w:lang w:val="en-US" w:eastAsia="zh-CN"/>
              </w:rPr>
            </w:pPr>
            <w:r>
              <w:rPr>
                <w:rFonts w:hint="eastAsia" w:eastAsia="仿宋_GB2312"/>
                <w:sz w:val="20"/>
                <w:szCs w:val="20"/>
              </w:rPr>
              <w:t>受灾面积比上年减少</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000000"/>
                <w:sz w:val="20"/>
                <w:szCs w:val="20"/>
                <w:highlight w:val="none"/>
                <w:lang w:eastAsia="zh-CN"/>
              </w:rPr>
            </w:pPr>
            <w:r>
              <w:rPr>
                <w:rFonts w:hint="eastAsia" w:eastAsia="仿宋_GB2312"/>
                <w:sz w:val="20"/>
                <w:szCs w:val="20"/>
                <w:lang w:val="en-US" w:eastAsia="zh-CN"/>
              </w:rPr>
              <w:t>推动</w:t>
            </w:r>
            <w:r>
              <w:rPr>
                <w:rFonts w:hint="eastAsia" w:eastAsia="仿宋_GB2312"/>
                <w:sz w:val="20"/>
                <w:szCs w:val="20"/>
              </w:rPr>
              <w:t>改善环境</w:t>
            </w:r>
          </w:p>
        </w:tc>
        <w:tc>
          <w:tcPr>
            <w:tcW w:w="1187"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0"/>
                <w:szCs w:val="20"/>
                <w:highlight w:val="none"/>
                <w:lang w:eastAsia="zh-CN"/>
              </w:rPr>
            </w:pPr>
            <w:r>
              <w:rPr>
                <w:rFonts w:hint="eastAsia" w:eastAsia="仿宋_GB2312"/>
                <w:sz w:val="20"/>
                <w:szCs w:val="20"/>
                <w:lang w:val="en-US" w:eastAsia="zh-CN"/>
              </w:rPr>
              <w:t>促进</w:t>
            </w:r>
          </w:p>
        </w:tc>
        <w:tc>
          <w:tcPr>
            <w:tcW w:w="1081" w:type="dxa"/>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仿宋_GB2312" w:cs="仿宋_GB2312"/>
                <w:color w:val="000000"/>
                <w:sz w:val="20"/>
                <w:szCs w:val="20"/>
                <w:highlight w:val="none"/>
                <w:lang w:val="en-US" w:eastAsia="zh-CN"/>
              </w:rPr>
            </w:pPr>
            <w:r>
              <w:rPr>
                <w:rFonts w:hint="eastAsia" w:eastAsia="仿宋_GB2312"/>
                <w:sz w:val="20"/>
                <w:szCs w:val="20"/>
                <w:lang w:val="en-US" w:eastAsia="zh-CN"/>
              </w:rPr>
              <w:t>促进</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耕地保护提升</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持续推进</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群众满意度</w:t>
            </w:r>
          </w:p>
        </w:tc>
        <w:tc>
          <w:tcPr>
            <w:tcW w:w="1187"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08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407"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王得令</w:t>
      </w:r>
      <w:r>
        <w:rPr>
          <w:rFonts w:hint="default" w:ascii="Times New Roman" w:hAnsi="Times New Roman" w:eastAsia="仿宋_GB2312" w:cs="Times New Roman"/>
          <w:sz w:val="22"/>
          <w:szCs w:val="22"/>
          <w:highlight w:val="none"/>
        </w:rPr>
        <w:t xml:space="preserve"> 填报日期：</w:t>
      </w:r>
      <w:r>
        <w:rPr>
          <w:rFonts w:hint="eastAsia" w:ascii="仿宋_GB2312" w:hAnsi="仿宋_GB2312" w:eastAsia="仿宋_GB2312" w:cs="仿宋_GB2312"/>
          <w:sz w:val="22"/>
          <w:szCs w:val="22"/>
          <w:highlight w:val="none"/>
          <w:lang w:val="en-US" w:eastAsia="zh-CN"/>
        </w:rPr>
        <w:t>2024.6.19</w:t>
      </w:r>
      <w:r>
        <w:rPr>
          <w:rFonts w:hint="default" w:ascii="Times New Roman" w:hAnsi="Times New Roman" w:eastAsia="仿宋_GB2312" w:cs="Times New Roman"/>
          <w:sz w:val="22"/>
          <w:szCs w:val="22"/>
          <w:highlight w:val="none"/>
        </w:rPr>
        <w:t xml:space="preserve"> 联系电话：</w:t>
      </w:r>
      <w:r>
        <w:rPr>
          <w:rFonts w:hint="eastAsia" w:ascii="仿宋_GB2312" w:hAnsi="仿宋_GB2312" w:eastAsia="仿宋_GB2312" w:cs="仿宋_GB2312"/>
          <w:sz w:val="22"/>
          <w:szCs w:val="22"/>
          <w:highlight w:val="none"/>
          <w:lang w:val="en-US" w:eastAsia="zh-CN"/>
        </w:rPr>
        <w:t>13973068205</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pPr>
        <w:rPr>
          <w:rFonts w:hint="default" w:ascii="仿宋_GB2312" w:hAnsi="仿宋_GB2312" w:eastAsia="仿宋_GB2312" w:cs="仿宋_GB2312"/>
          <w:sz w:val="22"/>
          <w:szCs w:val="2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C803F"/>
    <w:multiLevelType w:val="singleLevel"/>
    <w:tmpl w:val="834C803F"/>
    <w:lvl w:ilvl="0" w:tentative="0">
      <w:start w:val="1"/>
      <w:numFmt w:val="chineseCounting"/>
      <w:suff w:val="nothing"/>
      <w:lvlText w:val="%1、"/>
      <w:lvlJc w:val="left"/>
      <w:rPr>
        <w:rFonts w:hint="eastAsia"/>
      </w:rPr>
    </w:lvl>
  </w:abstractNum>
  <w:abstractNum w:abstractNumId="1">
    <w:nsid w:val="B93151B9"/>
    <w:multiLevelType w:val="singleLevel"/>
    <w:tmpl w:val="B93151B9"/>
    <w:lvl w:ilvl="0" w:tentative="0">
      <w:start w:val="4"/>
      <w:numFmt w:val="chineseCounting"/>
      <w:suff w:val="nothing"/>
      <w:lvlText w:val="%1、"/>
      <w:lvlJc w:val="left"/>
      <w:rPr>
        <w:rFonts w:hint="eastAsia"/>
      </w:rPr>
    </w:lvl>
  </w:abstractNum>
  <w:abstractNum w:abstractNumId="2">
    <w:nsid w:val="FC8471E3"/>
    <w:multiLevelType w:val="singleLevel"/>
    <w:tmpl w:val="FC8471E3"/>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NGVmOWRjMWM1NmYyNjhiZGY0MjE0MmZlNjMzYTcifQ=="/>
  </w:docVars>
  <w:rsids>
    <w:rsidRoot w:val="59886344"/>
    <w:rsid w:val="08D57A2A"/>
    <w:rsid w:val="099703E5"/>
    <w:rsid w:val="0CF55810"/>
    <w:rsid w:val="0DC4646F"/>
    <w:rsid w:val="10B501AC"/>
    <w:rsid w:val="12534488"/>
    <w:rsid w:val="15A206DD"/>
    <w:rsid w:val="16C50173"/>
    <w:rsid w:val="16C75CA0"/>
    <w:rsid w:val="17DF5EC9"/>
    <w:rsid w:val="1F2A6EBE"/>
    <w:rsid w:val="204C58AF"/>
    <w:rsid w:val="231A15C5"/>
    <w:rsid w:val="26CF68CA"/>
    <w:rsid w:val="2B3318B3"/>
    <w:rsid w:val="30D42A97"/>
    <w:rsid w:val="345224E6"/>
    <w:rsid w:val="354563B8"/>
    <w:rsid w:val="38AA34F3"/>
    <w:rsid w:val="3AFF10AC"/>
    <w:rsid w:val="3B7663F4"/>
    <w:rsid w:val="3CAE4D5C"/>
    <w:rsid w:val="3F570121"/>
    <w:rsid w:val="4600554C"/>
    <w:rsid w:val="46716462"/>
    <w:rsid w:val="4A414B3D"/>
    <w:rsid w:val="4B675A44"/>
    <w:rsid w:val="51981FF4"/>
    <w:rsid w:val="524569C0"/>
    <w:rsid w:val="541637A9"/>
    <w:rsid w:val="54AC24B7"/>
    <w:rsid w:val="553201EA"/>
    <w:rsid w:val="56972ED2"/>
    <w:rsid w:val="58147697"/>
    <w:rsid w:val="59886344"/>
    <w:rsid w:val="5A161D76"/>
    <w:rsid w:val="5A590E25"/>
    <w:rsid w:val="608D56CD"/>
    <w:rsid w:val="63FC2C37"/>
    <w:rsid w:val="6A095395"/>
    <w:rsid w:val="6EF03AB5"/>
    <w:rsid w:val="6F5917CA"/>
    <w:rsid w:val="70986E39"/>
    <w:rsid w:val="719974E5"/>
    <w:rsid w:val="73A70210"/>
    <w:rsid w:val="76FA3D9F"/>
    <w:rsid w:val="77A460F8"/>
    <w:rsid w:val="77A959CF"/>
    <w:rsid w:val="78006790"/>
    <w:rsid w:val="78F910FB"/>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hAnsi="仿宋" w:eastAsia="宋体" w:cs="Times New Roman"/>
      <w:kern w:val="0"/>
      <w:sz w:val="28"/>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ind w:left="1680" w:leftChars="80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2"/>
    <w:autoRedefine/>
    <w:qFormat/>
    <w:uiPriority w:val="0"/>
    <w:pPr>
      <w:spacing w:after="0"/>
      <w:ind w:firstLine="200" w:firstLineChars="200"/>
    </w:pPr>
    <w:rPr>
      <w:sz w:val="24"/>
    </w:rPr>
  </w:style>
  <w:style w:type="paragraph" w:customStyle="1" w:styleId="8">
    <w:name w:val="列出段落1"/>
    <w:basedOn w:val="1"/>
    <w:autoRedefine/>
    <w:qFormat/>
    <w:uiPriority w:val="34"/>
    <w:pPr>
      <w:ind w:firstLine="420" w:firstLineChars="200"/>
    </w:pPr>
  </w:style>
  <w:style w:type="paragraph" w:styleId="9">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Administrator</cp:lastModifiedBy>
  <dcterms:modified xsi:type="dcterms:W3CDTF">2024-07-05T06:32:09Z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5F83F8D10BA74AC5B6267A33EA513045_13</vt:lpwstr>
  </property>
</Properties>
</file>