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0"/>
                <w:szCs w:val="20"/>
                <w:highlight w:val="none"/>
              </w:rPr>
              <w:t>40</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7</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yellow"/>
                <w:lang w:val="en-US" w:eastAsia="zh-CN"/>
              </w:rPr>
            </w:pPr>
            <w:r>
              <w:rPr>
                <w:rFonts w:hint="eastAsia" w:ascii="仿宋_GB2312" w:hAnsi="仿宋_GB2312" w:eastAsia="仿宋_GB2312" w:cs="仿宋_GB2312"/>
                <w:color w:val="auto"/>
                <w:sz w:val="20"/>
                <w:szCs w:val="20"/>
                <w:highlight w:val="none"/>
                <w:lang w:val="en-US" w:eastAsia="zh-CN"/>
              </w:rPr>
              <w:t>56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yellow"/>
                <w:lang w:val="en-US" w:eastAsia="zh-CN"/>
              </w:rPr>
            </w:pPr>
            <w:r>
              <w:rPr>
                <w:rFonts w:hint="eastAsia" w:ascii="仿宋_GB2312" w:hAnsi="仿宋_GB2312" w:eastAsia="仿宋_GB2312" w:cs="仿宋_GB2312"/>
                <w:color w:val="auto"/>
                <w:sz w:val="20"/>
                <w:szCs w:val="20"/>
                <w:highlight w:val="none"/>
                <w:lang w:val="en-US" w:eastAsia="zh-CN"/>
              </w:rPr>
              <w:t>919.31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yellow"/>
              </w:rPr>
            </w:pPr>
            <w:r>
              <w:rPr>
                <w:rFonts w:hint="eastAsia" w:ascii="仿宋_GB2312" w:hAnsi="仿宋_GB2312" w:eastAsia="仿宋_GB2312" w:cs="仿宋_GB2312"/>
                <w:sz w:val="20"/>
                <w:szCs w:val="20"/>
                <w:highlight w:val="none"/>
              </w:rPr>
              <w:t>16</w:t>
            </w:r>
            <w:r>
              <w:rPr>
                <w:rFonts w:hint="eastAsia" w:ascii="仿宋_GB2312" w:hAnsi="仿宋_GB2312" w:eastAsia="仿宋_GB2312" w:cs="仿宋_GB2312"/>
                <w:sz w:val="20"/>
                <w:szCs w:val="20"/>
                <w:highlight w:val="none"/>
                <w:lang w:val="en-US" w:eastAsia="zh-CN"/>
              </w:rPr>
              <w:t>.95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yellow"/>
                <w:lang w:val="en-US" w:eastAsia="zh-CN"/>
              </w:rPr>
            </w:pPr>
            <w:r>
              <w:rPr>
                <w:rFonts w:hint="eastAsia" w:ascii="仿宋_GB2312" w:hAnsi="仿宋_GB2312" w:eastAsia="仿宋_GB2312" w:cs="仿宋_GB2312"/>
                <w:sz w:val="20"/>
                <w:szCs w:val="20"/>
                <w:highlight w:val="none"/>
                <w:lang w:val="en-US" w:eastAsia="zh-CN"/>
              </w:rPr>
              <w:t>9.6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yellow"/>
                <w:lang w:val="en-US" w:eastAsia="zh-CN"/>
              </w:rPr>
            </w:pPr>
            <w:r>
              <w:rPr>
                <w:rFonts w:hint="eastAsia" w:ascii="仿宋_GB2312" w:hAnsi="仿宋_GB2312" w:eastAsia="仿宋_GB2312" w:cs="仿宋_GB2312"/>
                <w:sz w:val="20"/>
                <w:szCs w:val="20"/>
                <w:highlight w:val="none"/>
                <w:lang w:val="en-US" w:eastAsia="zh-CN"/>
              </w:rPr>
              <w:t>56.99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16.95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56.92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0.07</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yellow"/>
                <w:lang w:val="en-US" w:eastAsia="zh-CN"/>
              </w:rPr>
            </w:pPr>
            <w:r>
              <w:rPr>
                <w:rFonts w:hint="eastAsia" w:ascii="仿宋_GB2312" w:hAnsi="仿宋_GB2312" w:eastAsia="仿宋_GB2312" w:cs="仿宋_GB2312"/>
                <w:sz w:val="20"/>
                <w:szCs w:val="20"/>
                <w:highlight w:val="none"/>
                <w:lang w:val="en-US" w:eastAsia="zh-CN"/>
              </w:rPr>
              <w:t>35.26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yellow"/>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Times New Roman" w:hAnsi="Times New Roman" w:eastAsia="仿宋_GB2312" w:cs="Times New Roman"/>
          <w:sz w:val="22"/>
          <w:highlight w:val="none"/>
          <w:lang w:eastAsia="zh-CN"/>
        </w:rPr>
        <w:t>填表人：杨小蓉</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eastAsia="zh-CN"/>
        </w:rPr>
        <w:t>填报日期：2024年6月25日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eastAsia="zh-CN"/>
        </w:rPr>
        <w:t>联系电话：15074838297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岳阳市君山区房产事务中心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144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w:t>
            </w:r>
            <w:r>
              <w:rPr>
                <w:rFonts w:hint="eastAsia" w:ascii="仿宋_GB2312" w:hAnsi="仿宋_GB2312" w:eastAsia="仿宋_GB2312" w:cs="仿宋_GB2312"/>
                <w:sz w:val="20"/>
                <w:szCs w:val="20"/>
                <w:highlight w:val="none"/>
                <w:lang w:val="en-US" w:eastAsia="zh-CN"/>
              </w:rPr>
              <w:t>6</w:t>
            </w:r>
          </w:p>
        </w:tc>
        <w:tc>
          <w:tcPr>
            <w:tcW w:w="1311"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1079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99</w:t>
            </w:r>
          </w:p>
        </w:tc>
        <w:tc>
          <w:tcPr>
            <w:tcW w:w="1269"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1079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99</w:t>
            </w:r>
          </w:p>
        </w:tc>
        <w:tc>
          <w:tcPr>
            <w:tcW w:w="716" w:type="dxa"/>
            <w:tcBorders>
              <w:top w:val="nil"/>
              <w:left w:val="nil"/>
              <w:bottom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top"/>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top"/>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color w:val="000000"/>
                <w:sz w:val="20"/>
                <w:szCs w:val="20"/>
                <w:highlight w:val="none"/>
                <w:lang w:val="en-US" w:eastAsia="zh-CN"/>
              </w:rPr>
              <w:t>144.66</w:t>
            </w:r>
          </w:p>
        </w:tc>
        <w:tc>
          <w:tcPr>
            <w:tcW w:w="4304"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其中：基本支出：160</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top"/>
          </w:tcPr>
          <w:p>
            <w:pPr>
              <w:widowControl/>
              <w:spacing w:line="240" w:lineRule="exact"/>
              <w:ind w:firstLine="800" w:firstLineChars="4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top"/>
          </w:tcPr>
          <w:p>
            <w:pPr>
              <w:widowControl/>
              <w:spacing w:line="240" w:lineRule="exact"/>
              <w:ind w:firstLine="600" w:firstLineChars="30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项目支出：919</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top"/>
          </w:tcPr>
          <w:p>
            <w:pPr>
              <w:widowControl/>
              <w:spacing w:line="240" w:lineRule="exact"/>
              <w:ind w:firstLine="1400" w:firstLineChars="7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白蚁防治工作</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100瓶</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599瓶</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开展各类教育宣传工作</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开展房交会</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1次</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物业维修资金管理规范性</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信息数据录入</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教育宣传覆盖率</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时效指标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信访问题处理及时性</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kern w:val="0"/>
                <w:sz w:val="20"/>
                <w:szCs w:val="20"/>
                <w:highlight w:val="none"/>
                <w:u w:val="none"/>
                <w:lang w:val="en-US" w:eastAsia="zh-CN" w:bidi="ar-SA"/>
              </w:rPr>
            </w:pPr>
            <w:r>
              <w:rPr>
                <w:rFonts w:hint="eastAsia" w:ascii="仿宋_GB2312" w:hAnsi="仿宋_GB2312" w:eastAsia="仿宋_GB2312" w:cs="仿宋_GB2312"/>
                <w:color w:val="000000"/>
                <w:sz w:val="20"/>
                <w:szCs w:val="20"/>
                <w:highlight w:val="none"/>
                <w:u w:val="none"/>
                <w:lang w:val="en-US" w:eastAsia="zh-CN"/>
              </w:rPr>
              <w:t>100%</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kern w:val="0"/>
                <w:sz w:val="20"/>
                <w:szCs w:val="20"/>
                <w:highlight w:val="none"/>
                <w:u w:val="none"/>
                <w:lang w:val="en-US" w:eastAsia="zh-CN" w:bidi="ar-SA"/>
              </w:rPr>
            </w:pPr>
            <w:r>
              <w:rPr>
                <w:rFonts w:hint="eastAsia" w:ascii="仿宋_GB2312" w:hAnsi="仿宋_GB2312" w:eastAsia="仿宋_GB2312" w:cs="仿宋_GB2312"/>
                <w:color w:val="000000"/>
                <w:sz w:val="20"/>
                <w:szCs w:val="20"/>
                <w:highlight w:val="none"/>
                <w:u w:val="none"/>
                <w:lang w:val="en-US" w:eastAsia="zh-CN"/>
              </w:rPr>
              <w:t>100%</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kern w:val="0"/>
                <w:sz w:val="20"/>
                <w:szCs w:val="20"/>
                <w:highlight w:val="none"/>
                <w:u w:val="none"/>
                <w:lang w:val="en-US" w:eastAsia="zh-CN" w:bidi="ar-SA"/>
              </w:rPr>
            </w:pPr>
            <w:r>
              <w:rPr>
                <w:rFonts w:hint="eastAsia" w:ascii="仿宋_GB2312" w:hAnsi="仿宋_GB2312" w:eastAsia="仿宋_GB2312" w:cs="仿宋_GB2312"/>
                <w:color w:val="000000"/>
                <w:sz w:val="20"/>
                <w:szCs w:val="20"/>
                <w:highlight w:val="none"/>
                <w:u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kern w:val="0"/>
                <w:sz w:val="20"/>
                <w:szCs w:val="20"/>
                <w:highlight w:val="none"/>
                <w:u w:val="none"/>
                <w:lang w:val="en-US" w:eastAsia="zh-CN" w:bidi="ar-SA"/>
              </w:rPr>
            </w:pPr>
            <w:r>
              <w:rPr>
                <w:rFonts w:hint="eastAsia" w:ascii="仿宋_GB2312" w:hAnsi="仿宋_GB2312" w:eastAsia="仿宋_GB2312" w:cs="仿宋_GB2312"/>
                <w:color w:val="000000"/>
                <w:sz w:val="20"/>
                <w:szCs w:val="20"/>
                <w:highlight w:val="none"/>
                <w:u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p>
        </w:tc>
      </w:tr>
      <w:tr>
        <w:tblPrEx>
          <w:tblCellMar>
            <w:top w:w="0" w:type="dxa"/>
            <w:left w:w="108" w:type="dxa"/>
            <w:bottom w:w="0" w:type="dxa"/>
            <w:right w:w="108" w:type="dxa"/>
          </w:tblCellMar>
        </w:tblPrEx>
        <w:trPr>
          <w:trHeight w:val="756"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u w:val="none"/>
              </w:rPr>
            </w:pPr>
          </w:p>
        </w:tc>
        <w:tc>
          <w:tcPr>
            <w:tcW w:w="127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购房补贴和契税减免发放及时性</w:t>
            </w:r>
          </w:p>
        </w:tc>
        <w:tc>
          <w:tcPr>
            <w:tcW w:w="1311"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u w:val="none"/>
              </w:rPr>
            </w:pPr>
          </w:p>
        </w:tc>
        <w:tc>
          <w:tcPr>
            <w:tcW w:w="1269"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u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lang w:val="en-US" w:eastAsia="zh-CN"/>
              </w:rPr>
              <w:t>5</w:t>
            </w: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u w:val="none"/>
              </w:rPr>
            </w:pPr>
          </w:p>
          <w:p>
            <w:pPr>
              <w:widowControl/>
              <w:spacing w:line="240" w:lineRule="exact"/>
              <w:jc w:val="center"/>
              <w:rPr>
                <w:rFonts w:hint="eastAsia" w:ascii="仿宋_GB2312" w:hAnsi="仿宋_GB2312" w:eastAsia="仿宋_GB2312" w:cs="仿宋_GB2312"/>
                <w:color w:val="000000"/>
                <w:sz w:val="20"/>
                <w:szCs w:val="20"/>
                <w:highlight w:val="none"/>
                <w:u w:val="none"/>
              </w:rPr>
            </w:pPr>
          </w:p>
        </w:tc>
      </w:tr>
      <w:tr>
        <w:tblPrEx>
          <w:tblCellMar>
            <w:top w:w="0" w:type="dxa"/>
            <w:left w:w="108" w:type="dxa"/>
            <w:bottom w:w="0" w:type="dxa"/>
            <w:right w:w="108" w:type="dxa"/>
          </w:tblCellMar>
        </w:tblPrEx>
        <w:trPr>
          <w:trHeight w:val="992"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right w:val="single" w:color="auto" w:sz="4" w:space="0"/>
            </w:tcBorders>
            <w:noWrap w:val="0"/>
            <w:vAlign w:val="top"/>
          </w:tcPr>
          <w:p>
            <w:pPr>
              <w:widowControl/>
              <w:tabs>
                <w:tab w:val="left" w:pos="517"/>
              </w:tabs>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财政资金支出</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sz w:val="20"/>
                <w:szCs w:val="20"/>
                <w:highlight w:val="none"/>
                <w:lang w:val="en-US" w:eastAsia="zh-CN"/>
              </w:rPr>
              <w:t>144.66</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1079.99</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受房地产市场环境影响，年中追加资金。</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w:t>
            </w:r>
            <w:r>
              <w:rPr>
                <w:rFonts w:hint="eastAsia" w:ascii="仿宋_GB2312" w:hAnsi="仿宋_GB2312" w:eastAsia="仿宋_GB2312" w:cs="仿宋_GB2312"/>
                <w:color w:val="000000"/>
                <w:sz w:val="20"/>
                <w:szCs w:val="20"/>
                <w:highlight w:val="none"/>
                <w:lang w:val="en-US" w:eastAsia="zh-CN"/>
              </w:rPr>
              <w:t>房地产</w:t>
            </w:r>
            <w:r>
              <w:rPr>
                <w:rFonts w:hint="eastAsia" w:ascii="仿宋_GB2312" w:hAnsi="仿宋_GB2312" w:eastAsia="仿宋_GB2312" w:cs="仿宋_GB2312"/>
                <w:color w:val="000000"/>
                <w:sz w:val="20"/>
                <w:szCs w:val="20"/>
                <w:highlight w:val="none"/>
              </w:rPr>
              <w:t>行业发展</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协助房地产税务增收</w:t>
            </w:r>
          </w:p>
        </w:tc>
        <w:tc>
          <w:tcPr>
            <w:tcW w:w="1311"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房地产市场稳定</w:t>
            </w:r>
          </w:p>
        </w:tc>
        <w:tc>
          <w:tcPr>
            <w:tcW w:w="131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w:t>
            </w:r>
          </w:p>
        </w:tc>
        <w:tc>
          <w:tcPr>
            <w:tcW w:w="126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物业管理规范</w:t>
            </w:r>
          </w:p>
        </w:tc>
        <w:tc>
          <w:tcPr>
            <w:tcW w:w="1311"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1269"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66"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减少白蚁危害</w:t>
            </w:r>
          </w:p>
        </w:tc>
        <w:tc>
          <w:tcPr>
            <w:tcW w:w="1311"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未发生</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未发生</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p>
            <w:pPr>
              <w:widowControl/>
              <w:spacing w:line="240" w:lineRule="exact"/>
              <w:ind w:firstLine="200" w:firstLineChars="10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9" w:hRule="atLeast"/>
          <w:jc w:val="center"/>
        </w:trPr>
        <w:tc>
          <w:tcPr>
            <w:tcW w:w="1080" w:type="dxa"/>
            <w:vMerge w:val="continue"/>
            <w:tcBorders>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加强监管水平</w:t>
            </w:r>
          </w:p>
        </w:tc>
        <w:tc>
          <w:tcPr>
            <w:tcW w:w="1311"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64" w:hRule="atLeast"/>
          <w:jc w:val="center"/>
        </w:trPr>
        <w:tc>
          <w:tcPr>
            <w:tcW w:w="1080" w:type="dxa"/>
            <w:vMerge w:val="continue"/>
            <w:tcBorders>
              <w:left w:val="single" w:color="auto" w:sz="4" w:space="0"/>
              <w:right w:val="single" w:color="auto" w:sz="4" w:space="0"/>
            </w:tcBorders>
            <w:noWrap w:val="0"/>
            <w:vAlign w:val="top"/>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社会公众满意度</w:t>
            </w:r>
          </w:p>
        </w:tc>
        <w:tc>
          <w:tcPr>
            <w:tcW w:w="1311" w:type="dxa"/>
            <w:tcBorders>
              <w:top w:val="nil"/>
              <w:left w:val="nil"/>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446"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Times New Roman" w:hAnsi="Times New Roman" w:eastAsia="仿宋_GB2312" w:cs="Times New Roman"/>
          <w:sz w:val="22"/>
          <w:szCs w:val="22"/>
          <w:highlight w:val="none"/>
          <w:lang w:eastAsia="zh-CN"/>
        </w:rPr>
        <w:t>填表人：杨小蓉</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eastAsia="zh-CN"/>
        </w:rPr>
        <w:t>填报日期：2024年6月25日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eastAsia="zh-CN"/>
        </w:rPr>
        <w:t>联系电话：15074838297</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购房和契税补贴资金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岳阳市君山区住房和城乡建设局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岳阳市君山区房产事务中心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auto"/>
                <w:sz w:val="20"/>
                <w:szCs w:val="20"/>
                <w:highlight w:val="none"/>
                <w:lang w:val="en-US" w:eastAsia="zh-CN"/>
              </w:rPr>
              <w:t>919.31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auto"/>
                <w:sz w:val="20"/>
                <w:szCs w:val="20"/>
                <w:highlight w:val="none"/>
                <w:lang w:val="en-US" w:eastAsia="zh-CN"/>
              </w:rPr>
              <w:t>919.31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auto"/>
                <w:sz w:val="20"/>
                <w:szCs w:val="20"/>
                <w:highlight w:val="none"/>
                <w:lang w:val="en-US" w:eastAsia="zh-CN"/>
              </w:rPr>
              <w:t>919.31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auto"/>
                <w:sz w:val="20"/>
                <w:szCs w:val="20"/>
                <w:highlight w:val="none"/>
                <w:lang w:val="en-US" w:eastAsia="zh-CN"/>
              </w:rPr>
              <w:t>919.31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受理户数</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申请发放购房和契税返还补贴真实可靠</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及时性</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bookmarkStart w:id="0" w:name="_GoBack"/>
            <w:bookmarkEnd w:id="0"/>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right w:val="single" w:color="auto" w:sz="4" w:space="0"/>
            </w:tcBorders>
            <w:noWrap w:val="0"/>
            <w:vAlign w:val="center"/>
          </w:tcPr>
          <w:p>
            <w:pPr>
              <w:widowControl/>
              <w:tabs>
                <w:tab w:val="left" w:pos="517"/>
              </w:tabs>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财政资金支出</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=919.31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919.31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w:t>
            </w:r>
            <w:r>
              <w:rPr>
                <w:rFonts w:hint="eastAsia" w:ascii="仿宋_GB2312" w:hAnsi="仿宋_GB2312" w:eastAsia="仿宋_GB2312" w:cs="仿宋_GB2312"/>
                <w:color w:val="000000"/>
                <w:sz w:val="20"/>
                <w:szCs w:val="20"/>
                <w:highlight w:val="none"/>
                <w:lang w:val="en-US" w:eastAsia="zh-CN"/>
              </w:rPr>
              <w:t>房地产</w:t>
            </w:r>
            <w:r>
              <w:rPr>
                <w:rFonts w:hint="eastAsia" w:ascii="仿宋_GB2312" w:hAnsi="仿宋_GB2312" w:eastAsia="仿宋_GB2312" w:cs="仿宋_GB2312"/>
                <w:color w:val="000000"/>
                <w:sz w:val="20"/>
                <w:szCs w:val="20"/>
                <w:highlight w:val="none"/>
              </w:rPr>
              <w:t>行业发展</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房地产市场稳定</w:t>
            </w:r>
          </w:p>
        </w:tc>
        <w:tc>
          <w:tcPr>
            <w:tcW w:w="113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稳定</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稳定</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2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社会公众满意度</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eastAsia" w:ascii="Times New Roman" w:hAnsi="Times New Roman" w:eastAsia="仿宋_GB2312" w:cs="Times New Roman"/>
          <w:sz w:val="22"/>
          <w:szCs w:val="22"/>
          <w:highlight w:val="none"/>
          <w:lang w:eastAsia="zh-CN"/>
        </w:rPr>
        <w:t>填表人：杨小蓉</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填报日期：2024年6月25日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联系电话：15074838297</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岳阳市君山区房产事务中心</w:t>
      </w:r>
      <w:r>
        <w:rPr>
          <w:rFonts w:hint="eastAsia" w:ascii="方正小标宋简体" w:hAnsi="方正小标宋简体" w:eastAsia="方正小标宋简体" w:cs="方正小标宋简体"/>
          <w:sz w:val="44"/>
          <w:szCs w:val="44"/>
          <w:highlight w:val="none"/>
        </w:rPr>
        <w:t>部门（单位）整体支出绩效自评报告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岳阳市君山区房产事务中心</w:t>
      </w:r>
      <w:r>
        <w:rPr>
          <w:rFonts w:hint="eastAsia" w:ascii="方正小标宋简体" w:hAnsi="方正小标宋简体" w:eastAsia="方正小标宋简体" w:cs="方正小标宋简体"/>
          <w:sz w:val="44"/>
          <w:szCs w:val="44"/>
          <w:highlight w:val="none"/>
        </w:rPr>
        <w:t>部门（单位）整体支出绩效自评报告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君山区房产事务中心是君山区住房和城乡建设局二级机构，于2020年4月成立，副科级单位，财务独立核算，核定全额拨款事业编制8名，在编人数8名。</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年区房产事务中心基本支出</w:t>
      </w:r>
      <w:r>
        <w:rPr>
          <w:rFonts w:hint="eastAsia" w:ascii="Times New Roman" w:hAnsi="Times New Roman" w:eastAsia="仿宋_GB2312" w:cs="Times New Roman"/>
          <w:color w:val="000000"/>
          <w:sz w:val="32"/>
          <w:szCs w:val="32"/>
          <w:highlight w:val="none"/>
          <w:lang w:val="en-US" w:eastAsia="zh-CN"/>
        </w:rPr>
        <w:t>160.49</w:t>
      </w:r>
      <w:r>
        <w:rPr>
          <w:rFonts w:hint="default" w:ascii="Times New Roman" w:hAnsi="Times New Roman" w:eastAsia="仿宋_GB2312" w:cs="Times New Roman"/>
          <w:color w:val="000000"/>
          <w:sz w:val="32"/>
          <w:szCs w:val="32"/>
          <w:highlight w:val="none"/>
        </w:rPr>
        <w:t>万元，其中：人员支出</w:t>
      </w:r>
      <w:r>
        <w:rPr>
          <w:rFonts w:hint="eastAsia" w:ascii="Times New Roman" w:hAnsi="Times New Roman" w:eastAsia="仿宋_GB2312" w:cs="Times New Roman"/>
          <w:color w:val="000000"/>
          <w:sz w:val="32"/>
          <w:szCs w:val="32"/>
          <w:highlight w:val="none"/>
          <w:lang w:val="en-US" w:eastAsia="zh-CN"/>
        </w:rPr>
        <w:t>103.5</w:t>
      </w:r>
      <w:r>
        <w:rPr>
          <w:rFonts w:hint="default" w:ascii="Times New Roman" w:hAnsi="Times New Roman" w:eastAsia="仿宋_GB2312" w:cs="Times New Roman"/>
          <w:color w:val="000000"/>
          <w:sz w:val="32"/>
          <w:szCs w:val="32"/>
          <w:highlight w:val="none"/>
        </w:rPr>
        <w:t>万元，占基本支出</w:t>
      </w:r>
      <w:r>
        <w:rPr>
          <w:rFonts w:hint="eastAsia" w:ascii="Times New Roman" w:hAnsi="Times New Roman" w:eastAsia="仿宋_GB2312" w:cs="Times New Roman"/>
          <w:color w:val="000000"/>
          <w:sz w:val="32"/>
          <w:szCs w:val="32"/>
          <w:highlight w:val="none"/>
          <w:lang w:val="en-US" w:eastAsia="zh-CN"/>
        </w:rPr>
        <w:t>64.49</w:t>
      </w:r>
      <w:r>
        <w:rPr>
          <w:rFonts w:hint="default" w:ascii="Times New Roman" w:hAnsi="Times New Roman" w:eastAsia="仿宋_GB2312" w:cs="Times New Roman"/>
          <w:color w:val="000000"/>
          <w:sz w:val="32"/>
          <w:szCs w:val="32"/>
          <w:highlight w:val="none"/>
        </w:rPr>
        <w:t>%；公用支出56.99万元，占基本支出</w:t>
      </w:r>
      <w:r>
        <w:rPr>
          <w:rFonts w:hint="eastAsia" w:ascii="Times New Roman" w:hAnsi="Times New Roman" w:eastAsia="仿宋_GB2312" w:cs="Times New Roman"/>
          <w:color w:val="000000"/>
          <w:sz w:val="32"/>
          <w:szCs w:val="32"/>
          <w:highlight w:val="none"/>
          <w:lang w:val="en-US" w:eastAsia="zh-CN"/>
        </w:rPr>
        <w:t>35.51</w:t>
      </w:r>
      <w:r>
        <w:rPr>
          <w:rFonts w:hint="default" w:ascii="Times New Roman" w:hAnsi="Times New Roman" w:eastAsia="仿宋_GB2312" w:cs="Times New Roman"/>
          <w:color w:val="000000"/>
          <w:sz w:val="32"/>
          <w:szCs w:val="32"/>
          <w:highlight w:val="none"/>
        </w:rPr>
        <w:t>%；基本支出主要用于局机关正常运转、完成日常工作任务而发生的各项支出，包括用于基本工资、津贴补贴等人员经费和办公费、培训费、差旅费、水电费、公车运行等日常公用经费。</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项目支出</w:t>
      </w:r>
      <w:r>
        <w:rPr>
          <w:rFonts w:hint="eastAsia" w:ascii="Times New Roman" w:hAnsi="Times New Roman" w:eastAsia="仿宋_GB2312" w:cs="Times New Roman"/>
          <w:color w:val="000000"/>
          <w:sz w:val="32"/>
          <w:szCs w:val="32"/>
          <w:highlight w:val="none"/>
          <w:lang w:val="en-US" w:eastAsia="zh-CN"/>
        </w:rPr>
        <w:t>919.31</w:t>
      </w:r>
      <w:r>
        <w:rPr>
          <w:rFonts w:hint="default" w:ascii="Times New Roman" w:hAnsi="Times New Roman" w:eastAsia="仿宋_GB2312" w:cs="Times New Roman"/>
          <w:color w:val="000000"/>
          <w:sz w:val="32"/>
          <w:szCs w:val="32"/>
          <w:highlight w:val="none"/>
        </w:rPr>
        <w:t>万元，支出为</w:t>
      </w:r>
      <w:r>
        <w:rPr>
          <w:rFonts w:hint="eastAsia" w:ascii="Times New Roman" w:hAnsi="Times New Roman" w:eastAsia="仿宋_GB2312" w:cs="Times New Roman"/>
          <w:color w:val="000000"/>
          <w:sz w:val="32"/>
          <w:szCs w:val="32"/>
          <w:highlight w:val="none"/>
          <w:lang w:val="en-US" w:eastAsia="zh-CN"/>
        </w:rPr>
        <w:t>2023年第一批、第二批</w:t>
      </w:r>
      <w:r>
        <w:rPr>
          <w:rFonts w:hint="eastAsia" w:ascii="仿宋" w:hAnsi="仿宋" w:eastAsia="仿宋" w:cs="仿宋"/>
          <w:spacing w:val="6"/>
          <w:sz w:val="29"/>
          <w:szCs w:val="29"/>
        </w:rPr>
        <w:t>购房补贴及契税减免</w:t>
      </w:r>
      <w:r>
        <w:rPr>
          <w:rFonts w:hint="eastAsia" w:eastAsia="仿宋" w:cs="仿宋"/>
          <w:spacing w:val="6"/>
          <w:sz w:val="29"/>
          <w:szCs w:val="29"/>
          <w:lang w:val="en-US" w:eastAsia="zh-CN"/>
        </w:rPr>
        <w:t>补贴资金</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spacing w:beforeLines="50" w:line="396" w:lineRule="auto"/>
        <w:ind w:left="20"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在区委区政府、区住建局的正确领导下，房产事务中心以解决民生实事为重点，务实争先，各项工作平稳开展，取得成效如下：</w:t>
      </w:r>
    </w:p>
    <w:p>
      <w:pPr>
        <w:spacing w:beforeLines="50" w:line="396" w:lineRule="auto"/>
        <w:ind w:left="20"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1.加强房产市场调控。根据《关于进一步促进君山区房地产市场平稳健康发展和良性循环的若干措施（试行）》文件要求，我局于2023年分三个批次开展购房补贴及契税减免受理、审批及发放工作。第一批（截止2023.1.3）购房补贴及契税减免共受理110户，合计奖补资金253万元；第二批购房补贴及契税减免共受理321户，合计奖补资金673万；第三批（截止2023.12.31）购房补贴及契税减免共受理299户，相关资料审核工作正在有序进行。应岳阳市人民政府办公室印发《关于进一步支持刚性和改善性住房需求促进岳阳市城区房地产市场平稳健康发展的若干措施&lt;试行&gt;》文件要求，我局起草了《关于进一步支持刚性和改善性住房需求促进君山区城区房地产市场平稳健康发展的若干措施》（送审稿），进一步促进我区房地产市场良性循环和平稳健康发展。目前该文件（送审稿）正在进行区政府常务会审议程序。 </w:t>
      </w:r>
    </w:p>
    <w:p>
      <w:pPr>
        <w:spacing w:beforeLines="50" w:line="396" w:lineRule="auto"/>
        <w:ind w:left="20"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2.加强房地产市场监管。持续抓好保交楼，加强合众领岛、君山壹号、家宁城市广场等房地产项目监管，目前项目建设进展顺利，尚无房地产经融风险。 </w:t>
      </w:r>
    </w:p>
    <w:p>
      <w:pPr>
        <w:spacing w:beforeLines="50" w:line="396" w:lineRule="auto"/>
        <w:ind w:left="20" w:leftChars="7" w:right="11" w:firstLine="604" w:firstLineChars="200"/>
        <w:rPr>
          <w:rFonts w:ascii="仿宋" w:hAnsi="仿宋" w:eastAsia="仿宋" w:cs="仿宋"/>
          <w:spacing w:val="6"/>
          <w:sz w:val="29"/>
          <w:szCs w:val="29"/>
        </w:rPr>
      </w:pPr>
      <w:r>
        <w:rPr>
          <w:rFonts w:hint="eastAsia" w:ascii="仿宋" w:hAnsi="仿宋" w:eastAsia="仿宋" w:cs="仿宋"/>
          <w:spacing w:val="6"/>
          <w:sz w:val="29"/>
          <w:szCs w:val="29"/>
        </w:rPr>
        <w:t xml:space="preserve">3.加强物业监管平台信息录入。指导君山区物业企业在物业监管平台的信息填报，社区确认率100%、项目经理确认率100%、项目填报率100%。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4.</w:t>
      </w:r>
      <w:r>
        <w:rPr>
          <w:rFonts w:hint="eastAsia" w:ascii="仿宋" w:hAnsi="仿宋" w:eastAsia="仿宋" w:cs="仿宋"/>
          <w:spacing w:val="6"/>
          <w:sz w:val="29"/>
          <w:szCs w:val="29"/>
        </w:rPr>
        <w:t xml:space="preserve">加强物业维修资金管理事权下放承接。2023年按程序使用物业维修资金两笔：教师新村小区屋顶漏水维修改项目1.8万元；水云间电梯维修项目2.3万元。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5</w:t>
      </w:r>
      <w:r>
        <w:rPr>
          <w:rFonts w:hint="eastAsia" w:ascii="仿宋" w:hAnsi="仿宋" w:eastAsia="仿宋" w:cs="仿宋"/>
          <w:spacing w:val="6"/>
          <w:sz w:val="29"/>
          <w:szCs w:val="29"/>
        </w:rPr>
        <w:t xml:space="preserve">.加强两新组织建设。加强小区基层党建自治，君山区物业行业协会党委指导君尚一品、君山壹号、信用社、新天地、水云间五个居民小区党支部的发展。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6</w:t>
      </w:r>
      <w:r>
        <w:rPr>
          <w:rFonts w:hint="eastAsia" w:ascii="仿宋" w:hAnsi="仿宋" w:eastAsia="仿宋" w:cs="仿宋"/>
          <w:spacing w:val="6"/>
          <w:sz w:val="29"/>
          <w:szCs w:val="29"/>
        </w:rPr>
        <w:t xml:space="preserve">.加强维护企业和工人合法权益。君山区物业行业工会，健全协调劳动关系三方机制，协调处理劳动纠纷。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7</w:t>
      </w:r>
      <w:r>
        <w:rPr>
          <w:rFonts w:hint="eastAsia" w:ascii="仿宋" w:hAnsi="仿宋" w:eastAsia="仿宋" w:cs="仿宋"/>
          <w:spacing w:val="6"/>
          <w:sz w:val="29"/>
          <w:szCs w:val="29"/>
        </w:rPr>
        <w:t xml:space="preserve">.加强国家卫生城市、国家文明城市创建。为小区添置宣传窗，公益广告牌，垃圾桶等相关设施设备，并督促各物业小区针对检查中发现的问题认真落实整改，顺利通过中央、省、市各级复查复审。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8</w:t>
      </w:r>
      <w:r>
        <w:rPr>
          <w:rFonts w:hint="eastAsia" w:ascii="仿宋" w:hAnsi="仿宋" w:eastAsia="仿宋" w:cs="仿宋"/>
          <w:spacing w:val="6"/>
          <w:sz w:val="29"/>
          <w:szCs w:val="29"/>
        </w:rPr>
        <w:t xml:space="preserve">.加强示范小区的建设。着力红色小区、清廉小区、小区协同治理，全力打造君山壹号、君临天下、君尚一品等示范小区建设。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9</w:t>
      </w:r>
      <w:r>
        <w:rPr>
          <w:rFonts w:hint="eastAsia" w:ascii="仿宋" w:hAnsi="仿宋" w:eastAsia="仿宋" w:cs="仿宋"/>
          <w:spacing w:val="6"/>
          <w:sz w:val="29"/>
          <w:szCs w:val="29"/>
        </w:rPr>
        <w:t xml:space="preserve">.加强高层消防安全隐患排查和督导。开展了专项行动，前期进行消防安全宣传，中期摸底调查，后期联合消防站下达了整改通知。 </w:t>
      </w:r>
    </w:p>
    <w:p>
      <w:pPr>
        <w:spacing w:beforeLines="50" w:line="396" w:lineRule="auto"/>
        <w:ind w:left="20" w:leftChars="7" w:right="11" w:firstLine="604" w:firstLineChars="200"/>
        <w:rPr>
          <w:rFonts w:ascii="仿宋" w:hAnsi="仿宋" w:eastAsia="仿宋" w:cs="仿宋"/>
          <w:spacing w:val="6"/>
          <w:sz w:val="29"/>
          <w:szCs w:val="29"/>
        </w:rPr>
      </w:pPr>
      <w:r>
        <w:rPr>
          <w:rFonts w:hint="eastAsia" w:eastAsia="仿宋" w:cs="仿宋"/>
          <w:spacing w:val="6"/>
          <w:sz w:val="29"/>
          <w:szCs w:val="29"/>
          <w:lang w:val="en-US" w:eastAsia="zh-CN"/>
        </w:rPr>
        <w:t>10</w:t>
      </w:r>
      <w:r>
        <w:rPr>
          <w:rFonts w:hint="eastAsia" w:ascii="仿宋" w:hAnsi="仿宋" w:eastAsia="仿宋" w:cs="仿宋"/>
          <w:spacing w:val="6"/>
          <w:sz w:val="29"/>
          <w:szCs w:val="29"/>
        </w:rPr>
        <w:t xml:space="preserve">.加强信访维稳。建立了联席会议制度，2023年共接收各类信访件114件，协调处理群众问题60余件，物业领域信访工作平稳。 </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 预算和预算绩效管理：年初预算与年末决算存在大额偏差。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sz w:val="32"/>
          <w:szCs w:val="32"/>
          <w:lang w:val="en-US" w:eastAsia="zh-CN"/>
        </w:rPr>
        <w:t>受房地产市场政策影响较大，数额较大且无法预估精准房地产市场交易数值，因此未列入年初预算范围内，财政没有安排预算，只能待当年房地产市场交易实际发生才能追加预算，造成年初预算与全年预算数差异较大</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部门履职效能：部门之间</w:t>
      </w:r>
      <w:r>
        <w:rPr>
          <w:rFonts w:hint="eastAsia" w:ascii="Times New Roman" w:hAnsi="Times New Roman" w:eastAsia="仿宋_GB2312" w:cs="Times New Roman"/>
          <w:sz w:val="32"/>
          <w:szCs w:val="32"/>
          <w:highlight w:val="none"/>
          <w:lang w:val="en-US" w:eastAsia="zh-CN"/>
        </w:rPr>
        <w:t>沟通不到位</w:t>
      </w:r>
      <w:r>
        <w:rPr>
          <w:rFonts w:hint="default" w:ascii="Times New Roman" w:hAnsi="Times New Roman" w:eastAsia="仿宋_GB2312" w:cs="Times New Roman"/>
          <w:sz w:val="32"/>
          <w:szCs w:val="32"/>
          <w:highlight w:val="none"/>
        </w:rPr>
        <w:t>，存在</w:t>
      </w:r>
      <w:r>
        <w:rPr>
          <w:rFonts w:hint="eastAsia" w:ascii="Times New Roman" w:hAnsi="Times New Roman" w:eastAsia="仿宋_GB2312" w:cs="Times New Roman"/>
          <w:sz w:val="32"/>
          <w:szCs w:val="32"/>
          <w:highlight w:val="none"/>
          <w:lang w:val="en-US" w:eastAsia="zh-CN"/>
        </w:rPr>
        <w:t>事情</w:t>
      </w:r>
      <w:r>
        <w:rPr>
          <w:rFonts w:hint="default" w:ascii="Times New Roman" w:hAnsi="Times New Roman" w:eastAsia="仿宋_GB2312" w:cs="Times New Roman"/>
          <w:sz w:val="32"/>
          <w:szCs w:val="32"/>
          <w:highlight w:val="none"/>
        </w:rPr>
        <w:t>交叉和重叠，导致工作效率低下</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单位人手较少，且经常当出现需外出任务，导致事情交叉和重叠，工作效率低下。</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资金分配、使用和管理方面：资金使用效率</w:t>
      </w:r>
      <w:r>
        <w:rPr>
          <w:rFonts w:hint="eastAsia" w:ascii="Times New Roman" w:hAnsi="Times New Roman" w:eastAsia="仿宋_GB2312" w:cs="Times New Roman"/>
          <w:sz w:val="32"/>
          <w:szCs w:val="32"/>
          <w:highlight w:val="none"/>
          <w:lang w:val="en-US" w:eastAsia="zh-CN"/>
        </w:rPr>
        <w:t>较低。</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存在</w:t>
      </w:r>
      <w:r>
        <w:rPr>
          <w:rFonts w:hint="eastAsia" w:ascii="Times New Roman" w:hAnsi="Times New Roman" w:eastAsia="仿宋_GB2312" w:cs="Times New Roman"/>
          <w:sz w:val="32"/>
          <w:szCs w:val="32"/>
          <w:highlight w:val="none"/>
          <w:lang w:val="en-US" w:eastAsia="zh-CN"/>
        </w:rPr>
        <w:t>未及时报账，集中在年底报账支付，</w:t>
      </w:r>
      <w:r>
        <w:rPr>
          <w:rFonts w:hint="default" w:ascii="Times New Roman" w:hAnsi="Times New Roman" w:eastAsia="仿宋_GB2312" w:cs="Times New Roman"/>
          <w:sz w:val="32"/>
          <w:szCs w:val="32"/>
          <w:highlight w:val="none"/>
        </w:rPr>
        <w:t>资金不能及时转化为实际成果。</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资产和财务管理方面：</w:t>
      </w:r>
      <w:r>
        <w:rPr>
          <w:rFonts w:hint="eastAsia" w:ascii="Times New Roman" w:hAnsi="Times New Roman" w:eastAsia="仿宋_GB2312" w:cs="Times New Roman"/>
          <w:sz w:val="32"/>
          <w:szCs w:val="32"/>
          <w:highlight w:val="none"/>
          <w:lang w:val="en-US" w:eastAsia="zh-CN"/>
        </w:rPr>
        <w:t>执行有偏差。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财务人员对</w:t>
      </w:r>
      <w:r>
        <w:rPr>
          <w:rFonts w:hint="eastAsia" w:ascii="Times New Roman" w:hAnsi="Times New Roman" w:eastAsia="仿宋_GB2312" w:cs="Times New Roman"/>
          <w:sz w:val="32"/>
          <w:szCs w:val="32"/>
          <w:highlight w:val="none"/>
          <w:lang w:val="en-US" w:eastAsia="zh-CN"/>
        </w:rPr>
        <w:t>部分</w:t>
      </w:r>
      <w:r>
        <w:rPr>
          <w:rFonts w:hint="default" w:ascii="Times New Roman" w:hAnsi="Times New Roman" w:eastAsia="仿宋_GB2312" w:cs="Times New Roman"/>
          <w:sz w:val="32"/>
          <w:szCs w:val="32"/>
          <w:highlight w:val="none"/>
        </w:rPr>
        <w:t>新出台的财务政策和法规了解不够及时，</w:t>
      </w:r>
      <w:r>
        <w:rPr>
          <w:rFonts w:hint="eastAsia" w:ascii="Times New Roman" w:hAnsi="Times New Roman" w:eastAsia="仿宋_GB2312" w:cs="Times New Roman"/>
          <w:sz w:val="32"/>
          <w:szCs w:val="32"/>
          <w:highlight w:val="none"/>
          <w:lang w:val="en-US" w:eastAsia="zh-CN"/>
        </w:rPr>
        <w:t>导</w:t>
      </w:r>
      <w:r>
        <w:rPr>
          <w:rFonts w:hint="default" w:ascii="Times New Roman" w:hAnsi="Times New Roman" w:eastAsia="仿宋_GB2312" w:cs="Times New Roman"/>
          <w:sz w:val="32"/>
          <w:szCs w:val="32"/>
          <w:highlight w:val="none"/>
        </w:rPr>
        <w:t>致工作中可能出现小的偏差。</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政府采购方面：供应商管理不善，部分供应商履约</w:t>
      </w:r>
      <w:r>
        <w:rPr>
          <w:rFonts w:hint="eastAsia" w:ascii="Times New Roman" w:hAnsi="Times New Roman" w:eastAsia="仿宋_GB2312" w:cs="Times New Roman"/>
          <w:sz w:val="32"/>
          <w:szCs w:val="32"/>
          <w:highlight w:val="none"/>
          <w:lang w:val="en-US" w:eastAsia="zh-CN"/>
        </w:rPr>
        <w:t>不及时</w:t>
      </w:r>
      <w:r>
        <w:rPr>
          <w:rFonts w:hint="default" w:ascii="Times New Roman" w:hAnsi="Times New Roman" w:eastAsia="仿宋_GB2312" w:cs="Times New Roman"/>
          <w:sz w:val="32"/>
          <w:szCs w:val="32"/>
          <w:highlight w:val="none"/>
        </w:rPr>
        <w:t>，影响采购项目的进度。</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sz w:val="32"/>
          <w:szCs w:val="32"/>
          <w:lang w:val="en-US" w:eastAsia="zh-CN"/>
        </w:rPr>
        <w:t>进一步健全和完善财务管理制度及内部控制制度，规范和约束机关财务行为和程序，加强业务部门与财务部门协调沟通，加强各部门人员财务培训，加强供应商管理，及时报账支付，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sz w:val="32"/>
          <w:szCs w:val="32"/>
          <w:lang w:val="en-US" w:eastAsia="zh-CN"/>
        </w:rPr>
        <w:t>自评表及自评报告内容完整、权重合理、数据真实、结果客观。</w:t>
      </w:r>
      <w:r>
        <w:rPr>
          <w:rFonts w:hint="eastAsia" w:ascii="Times New Roman" w:hAnsi="Times New Roman" w:eastAsia="仿宋_GB2312"/>
          <w:sz w:val="32"/>
          <w:szCs w:val="32"/>
          <w:lang w:val="en-US" w:eastAsia="zh-CN"/>
        </w:rPr>
        <w:t>我单位</w:t>
      </w:r>
      <w:r>
        <w:rPr>
          <w:rFonts w:hint="default" w:ascii="Times New Roman" w:hAnsi="Times New Roman" w:eastAsia="仿宋_GB2312"/>
          <w:sz w:val="32"/>
          <w:szCs w:val="32"/>
          <w:lang w:val="en-US" w:eastAsia="zh-CN"/>
        </w:rPr>
        <w:t>将绩效自评结果作为完善政策和改进管理的重要依据，同时加强评价结果的应用，对有效支出安排预算、低效支出压减预算，切实提高部门预算绩效管理水平。自评结果将报送省财政厅，并依法予以公开。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根据我</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年度部门预算执行情况绩效自评工作开展情况，无其他需要说明的问题。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92分</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D51B"/>
    <w:multiLevelType w:val="singleLevel"/>
    <w:tmpl w:val="8423D51B"/>
    <w:lvl w:ilvl="0" w:tentative="0">
      <w:start w:val="2"/>
      <w:numFmt w:val="decimal"/>
      <w:lvlText w:val="%1."/>
      <w:lvlJc w:val="left"/>
      <w:pPr>
        <w:tabs>
          <w:tab w:val="left" w:pos="312"/>
        </w:tabs>
      </w:pPr>
    </w:lvl>
  </w:abstractNum>
  <w:abstractNum w:abstractNumId="1">
    <w:nsid w:val="84B0032A"/>
    <w:multiLevelType w:val="singleLevel"/>
    <w:tmpl w:val="84B0032A"/>
    <w:lvl w:ilvl="0" w:tentative="0">
      <w:start w:val="8"/>
      <w:numFmt w:val="chineseCounting"/>
      <w:suff w:val="nothing"/>
      <w:lvlText w:val="%1、"/>
      <w:lvlJc w:val="left"/>
      <w:rPr>
        <w:rFonts w:hint="eastAsia"/>
      </w:rPr>
    </w:lvl>
  </w:abstractNum>
  <w:abstractNum w:abstractNumId="2">
    <w:nsid w:val="AA28B33C"/>
    <w:multiLevelType w:val="singleLevel"/>
    <w:tmpl w:val="AA28B33C"/>
    <w:lvl w:ilvl="0" w:tentative="0">
      <w:start w:val="1"/>
      <w:numFmt w:val="chineseCounting"/>
      <w:suff w:val="nothing"/>
      <w:lvlText w:val="%1、"/>
      <w:lvlJc w:val="left"/>
      <w:rPr>
        <w:rFonts w:hint="eastAsia"/>
      </w:rPr>
    </w:lvl>
  </w:abstractNum>
  <w:abstractNum w:abstractNumId="3">
    <w:nsid w:val="03F5DB45"/>
    <w:multiLevelType w:val="singleLevel"/>
    <w:tmpl w:val="03F5DB45"/>
    <w:lvl w:ilvl="0" w:tentative="0">
      <w:start w:val="2"/>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YWQwZGU2NzJiZDI2ZDY2YWNjYmE2Y2FkYjU5MDUifQ=="/>
  </w:docVars>
  <w:rsids>
    <w:rsidRoot w:val="59886344"/>
    <w:rsid w:val="009A5857"/>
    <w:rsid w:val="00F907CF"/>
    <w:rsid w:val="01064C9A"/>
    <w:rsid w:val="012C7BA7"/>
    <w:rsid w:val="01437C9C"/>
    <w:rsid w:val="02203B3A"/>
    <w:rsid w:val="026659F0"/>
    <w:rsid w:val="027F2F56"/>
    <w:rsid w:val="02820350"/>
    <w:rsid w:val="02B7624C"/>
    <w:rsid w:val="02D212D8"/>
    <w:rsid w:val="03A26EFC"/>
    <w:rsid w:val="044E2BE0"/>
    <w:rsid w:val="04506958"/>
    <w:rsid w:val="04C609C8"/>
    <w:rsid w:val="052252B2"/>
    <w:rsid w:val="054A43F1"/>
    <w:rsid w:val="05705813"/>
    <w:rsid w:val="05776166"/>
    <w:rsid w:val="05832D5D"/>
    <w:rsid w:val="058D14E6"/>
    <w:rsid w:val="05E32ADC"/>
    <w:rsid w:val="0635149D"/>
    <w:rsid w:val="06952D48"/>
    <w:rsid w:val="06B34F7C"/>
    <w:rsid w:val="08316AA1"/>
    <w:rsid w:val="083640B7"/>
    <w:rsid w:val="08564759"/>
    <w:rsid w:val="0869623A"/>
    <w:rsid w:val="08B5322E"/>
    <w:rsid w:val="08B84ACC"/>
    <w:rsid w:val="08DD09D6"/>
    <w:rsid w:val="09630EDC"/>
    <w:rsid w:val="09972933"/>
    <w:rsid w:val="0A1026E6"/>
    <w:rsid w:val="0A432ABB"/>
    <w:rsid w:val="0A590531"/>
    <w:rsid w:val="0AB6328D"/>
    <w:rsid w:val="0ABD757B"/>
    <w:rsid w:val="0AD35BED"/>
    <w:rsid w:val="0B7373D0"/>
    <w:rsid w:val="0BBE4AEF"/>
    <w:rsid w:val="0C0D512F"/>
    <w:rsid w:val="0D553231"/>
    <w:rsid w:val="0D894C89"/>
    <w:rsid w:val="0DA41AC3"/>
    <w:rsid w:val="0DC857B1"/>
    <w:rsid w:val="0E361A01"/>
    <w:rsid w:val="0E770F85"/>
    <w:rsid w:val="0EAD2BF9"/>
    <w:rsid w:val="0F7756E1"/>
    <w:rsid w:val="0F890F70"/>
    <w:rsid w:val="0FE4264A"/>
    <w:rsid w:val="109B71AD"/>
    <w:rsid w:val="125C296C"/>
    <w:rsid w:val="12771554"/>
    <w:rsid w:val="127952CC"/>
    <w:rsid w:val="12ED1816"/>
    <w:rsid w:val="134A310C"/>
    <w:rsid w:val="13693592"/>
    <w:rsid w:val="137E6912"/>
    <w:rsid w:val="13E0137B"/>
    <w:rsid w:val="13F76DF0"/>
    <w:rsid w:val="140D6614"/>
    <w:rsid w:val="14103A0E"/>
    <w:rsid w:val="141554C8"/>
    <w:rsid w:val="14290F74"/>
    <w:rsid w:val="14812B5E"/>
    <w:rsid w:val="14D84081"/>
    <w:rsid w:val="14ED01F3"/>
    <w:rsid w:val="158341F7"/>
    <w:rsid w:val="15E52C78"/>
    <w:rsid w:val="160C6457"/>
    <w:rsid w:val="162437A1"/>
    <w:rsid w:val="162B4B2F"/>
    <w:rsid w:val="1686445B"/>
    <w:rsid w:val="16FB672F"/>
    <w:rsid w:val="17A32DEB"/>
    <w:rsid w:val="17D411F6"/>
    <w:rsid w:val="17EC6540"/>
    <w:rsid w:val="1800023D"/>
    <w:rsid w:val="18980476"/>
    <w:rsid w:val="189A5F9C"/>
    <w:rsid w:val="18BA4890"/>
    <w:rsid w:val="18D23988"/>
    <w:rsid w:val="191C10A7"/>
    <w:rsid w:val="197E58BE"/>
    <w:rsid w:val="1A037B71"/>
    <w:rsid w:val="1ADA4D76"/>
    <w:rsid w:val="1AF75CD5"/>
    <w:rsid w:val="1B903686"/>
    <w:rsid w:val="1C00080C"/>
    <w:rsid w:val="1C1531DB"/>
    <w:rsid w:val="1C6C40F3"/>
    <w:rsid w:val="1D216C8C"/>
    <w:rsid w:val="1D5232E9"/>
    <w:rsid w:val="1D8B2429"/>
    <w:rsid w:val="1DA8115B"/>
    <w:rsid w:val="1E4C7D38"/>
    <w:rsid w:val="1EB1403F"/>
    <w:rsid w:val="1EDD3086"/>
    <w:rsid w:val="1EDF295B"/>
    <w:rsid w:val="1F7312F5"/>
    <w:rsid w:val="203E1903"/>
    <w:rsid w:val="204C04C4"/>
    <w:rsid w:val="204F3B10"/>
    <w:rsid w:val="217B030D"/>
    <w:rsid w:val="22837AA1"/>
    <w:rsid w:val="22CE51C0"/>
    <w:rsid w:val="2309444A"/>
    <w:rsid w:val="239D4B92"/>
    <w:rsid w:val="23A14683"/>
    <w:rsid w:val="244B5984"/>
    <w:rsid w:val="24935B6C"/>
    <w:rsid w:val="24B71C84"/>
    <w:rsid w:val="252512E3"/>
    <w:rsid w:val="25284930"/>
    <w:rsid w:val="25592D3B"/>
    <w:rsid w:val="256E67E6"/>
    <w:rsid w:val="270278E7"/>
    <w:rsid w:val="27421CD9"/>
    <w:rsid w:val="282633A8"/>
    <w:rsid w:val="29B42C36"/>
    <w:rsid w:val="29E4176D"/>
    <w:rsid w:val="29F64FFC"/>
    <w:rsid w:val="2A41271B"/>
    <w:rsid w:val="2A465F84"/>
    <w:rsid w:val="2AA42CAA"/>
    <w:rsid w:val="2AFC2A3C"/>
    <w:rsid w:val="2B165A50"/>
    <w:rsid w:val="2B41674B"/>
    <w:rsid w:val="2B6568DD"/>
    <w:rsid w:val="2B944ACD"/>
    <w:rsid w:val="2BAA609E"/>
    <w:rsid w:val="2CA84CD4"/>
    <w:rsid w:val="2CEB2E12"/>
    <w:rsid w:val="2D5012CE"/>
    <w:rsid w:val="2D825525"/>
    <w:rsid w:val="2DAD3DBC"/>
    <w:rsid w:val="2DF126AA"/>
    <w:rsid w:val="2E053A60"/>
    <w:rsid w:val="2EB15996"/>
    <w:rsid w:val="2EF87518"/>
    <w:rsid w:val="2F0401BB"/>
    <w:rsid w:val="2F3740ED"/>
    <w:rsid w:val="2F662C24"/>
    <w:rsid w:val="2FF3270A"/>
    <w:rsid w:val="303B19BB"/>
    <w:rsid w:val="312100DD"/>
    <w:rsid w:val="317E1AFE"/>
    <w:rsid w:val="31C42535"/>
    <w:rsid w:val="32171FB4"/>
    <w:rsid w:val="330B7E50"/>
    <w:rsid w:val="331704BD"/>
    <w:rsid w:val="3325431C"/>
    <w:rsid w:val="33680D19"/>
    <w:rsid w:val="33CD5020"/>
    <w:rsid w:val="342235BE"/>
    <w:rsid w:val="34337579"/>
    <w:rsid w:val="34473024"/>
    <w:rsid w:val="350C3926"/>
    <w:rsid w:val="35415CC5"/>
    <w:rsid w:val="3566572C"/>
    <w:rsid w:val="35DE3514"/>
    <w:rsid w:val="35EB3E83"/>
    <w:rsid w:val="360B0081"/>
    <w:rsid w:val="36603F29"/>
    <w:rsid w:val="3667175C"/>
    <w:rsid w:val="3676199F"/>
    <w:rsid w:val="36794FEB"/>
    <w:rsid w:val="36AB0D4B"/>
    <w:rsid w:val="37CA01F4"/>
    <w:rsid w:val="38042FDA"/>
    <w:rsid w:val="384E5D69"/>
    <w:rsid w:val="38593326"/>
    <w:rsid w:val="38E30E42"/>
    <w:rsid w:val="39007C46"/>
    <w:rsid w:val="39202096"/>
    <w:rsid w:val="39D64CAD"/>
    <w:rsid w:val="3A00614F"/>
    <w:rsid w:val="3A157721"/>
    <w:rsid w:val="3A5C2788"/>
    <w:rsid w:val="3ADB2718"/>
    <w:rsid w:val="3ADC3D9A"/>
    <w:rsid w:val="3B143534"/>
    <w:rsid w:val="3B5A4E6D"/>
    <w:rsid w:val="3B5B55A7"/>
    <w:rsid w:val="3BA64AD4"/>
    <w:rsid w:val="3BE64ED1"/>
    <w:rsid w:val="3BEE0229"/>
    <w:rsid w:val="3C261771"/>
    <w:rsid w:val="3C3012FF"/>
    <w:rsid w:val="3C7C75E3"/>
    <w:rsid w:val="3CCD0302"/>
    <w:rsid w:val="3D3E0D3C"/>
    <w:rsid w:val="3D6927AC"/>
    <w:rsid w:val="3D695DB9"/>
    <w:rsid w:val="3D8F3346"/>
    <w:rsid w:val="3D9F5C7F"/>
    <w:rsid w:val="3E157CEF"/>
    <w:rsid w:val="3E171CB9"/>
    <w:rsid w:val="3E225321"/>
    <w:rsid w:val="3F137585"/>
    <w:rsid w:val="40E90FBF"/>
    <w:rsid w:val="41720FB5"/>
    <w:rsid w:val="41A2189A"/>
    <w:rsid w:val="42AB6E74"/>
    <w:rsid w:val="43087E22"/>
    <w:rsid w:val="43505326"/>
    <w:rsid w:val="43AF029E"/>
    <w:rsid w:val="43B65AD0"/>
    <w:rsid w:val="43FE4D82"/>
    <w:rsid w:val="44DC50C3"/>
    <w:rsid w:val="44E26451"/>
    <w:rsid w:val="44E421C9"/>
    <w:rsid w:val="44F468B0"/>
    <w:rsid w:val="45244CBC"/>
    <w:rsid w:val="45390767"/>
    <w:rsid w:val="455434EC"/>
    <w:rsid w:val="458B0897"/>
    <w:rsid w:val="45C5024D"/>
    <w:rsid w:val="45CC3389"/>
    <w:rsid w:val="46001AF9"/>
    <w:rsid w:val="46431172"/>
    <w:rsid w:val="465869CB"/>
    <w:rsid w:val="47811F51"/>
    <w:rsid w:val="47D6229D"/>
    <w:rsid w:val="48870DC2"/>
    <w:rsid w:val="48952158"/>
    <w:rsid w:val="48CB3DCC"/>
    <w:rsid w:val="48D34A2F"/>
    <w:rsid w:val="48FA1FBB"/>
    <w:rsid w:val="495C4A24"/>
    <w:rsid w:val="49C8030C"/>
    <w:rsid w:val="49E62540"/>
    <w:rsid w:val="49EC224C"/>
    <w:rsid w:val="4A325785"/>
    <w:rsid w:val="4AFA44F5"/>
    <w:rsid w:val="4B0E7FA0"/>
    <w:rsid w:val="4B773451"/>
    <w:rsid w:val="4BD20FCE"/>
    <w:rsid w:val="4C3A6B73"/>
    <w:rsid w:val="4D1A70D0"/>
    <w:rsid w:val="4D7560B4"/>
    <w:rsid w:val="4D7D140D"/>
    <w:rsid w:val="4D844549"/>
    <w:rsid w:val="4DC164BA"/>
    <w:rsid w:val="4DC808DA"/>
    <w:rsid w:val="4DF53699"/>
    <w:rsid w:val="4E0336C0"/>
    <w:rsid w:val="4E6323B1"/>
    <w:rsid w:val="4E7740AE"/>
    <w:rsid w:val="4EE259CC"/>
    <w:rsid w:val="4EF474AD"/>
    <w:rsid w:val="4F196F13"/>
    <w:rsid w:val="4F625055"/>
    <w:rsid w:val="4F645431"/>
    <w:rsid w:val="4F720E44"/>
    <w:rsid w:val="4F764366"/>
    <w:rsid w:val="4F9071D6"/>
    <w:rsid w:val="4FBC7B86"/>
    <w:rsid w:val="4FD35314"/>
    <w:rsid w:val="5006393C"/>
    <w:rsid w:val="51031C29"/>
    <w:rsid w:val="511300BE"/>
    <w:rsid w:val="51404C2B"/>
    <w:rsid w:val="515D3A2F"/>
    <w:rsid w:val="52100AA2"/>
    <w:rsid w:val="52923265"/>
    <w:rsid w:val="535D3873"/>
    <w:rsid w:val="53CC6C4A"/>
    <w:rsid w:val="53D855EF"/>
    <w:rsid w:val="53D8739D"/>
    <w:rsid w:val="540C7047"/>
    <w:rsid w:val="54316AAD"/>
    <w:rsid w:val="550C37A2"/>
    <w:rsid w:val="55326F81"/>
    <w:rsid w:val="559E0172"/>
    <w:rsid w:val="55BB2AD2"/>
    <w:rsid w:val="563665FD"/>
    <w:rsid w:val="56C43C09"/>
    <w:rsid w:val="56CB4F97"/>
    <w:rsid w:val="575E5E0B"/>
    <w:rsid w:val="578F4217"/>
    <w:rsid w:val="57A001D2"/>
    <w:rsid w:val="57C54229"/>
    <w:rsid w:val="57C93BCD"/>
    <w:rsid w:val="58262DCD"/>
    <w:rsid w:val="58296419"/>
    <w:rsid w:val="58644908"/>
    <w:rsid w:val="58D97E3F"/>
    <w:rsid w:val="59861649"/>
    <w:rsid w:val="59886344"/>
    <w:rsid w:val="59D86349"/>
    <w:rsid w:val="59EC76FE"/>
    <w:rsid w:val="5A236E98"/>
    <w:rsid w:val="5A3F0176"/>
    <w:rsid w:val="5A9B2ED2"/>
    <w:rsid w:val="5AC643F3"/>
    <w:rsid w:val="5AFF16B3"/>
    <w:rsid w:val="5B6C459D"/>
    <w:rsid w:val="5B9718EC"/>
    <w:rsid w:val="5B9F52B2"/>
    <w:rsid w:val="5C441A74"/>
    <w:rsid w:val="5C841E70"/>
    <w:rsid w:val="5CB074D1"/>
    <w:rsid w:val="5D146CAF"/>
    <w:rsid w:val="5D537A94"/>
    <w:rsid w:val="5DEC4171"/>
    <w:rsid w:val="5E39312E"/>
    <w:rsid w:val="5EA22A81"/>
    <w:rsid w:val="5EB804F7"/>
    <w:rsid w:val="5ED15115"/>
    <w:rsid w:val="5EE50BC0"/>
    <w:rsid w:val="5F700DD2"/>
    <w:rsid w:val="5F9C5723"/>
    <w:rsid w:val="605D3104"/>
    <w:rsid w:val="60F32B17"/>
    <w:rsid w:val="60F872D1"/>
    <w:rsid w:val="61314591"/>
    <w:rsid w:val="615F4C5A"/>
    <w:rsid w:val="61E909C7"/>
    <w:rsid w:val="632F68AE"/>
    <w:rsid w:val="63892462"/>
    <w:rsid w:val="63957059"/>
    <w:rsid w:val="63C11BFC"/>
    <w:rsid w:val="63CC234F"/>
    <w:rsid w:val="64306F04"/>
    <w:rsid w:val="644F0FB6"/>
    <w:rsid w:val="6461518D"/>
    <w:rsid w:val="64947310"/>
    <w:rsid w:val="64CD0201"/>
    <w:rsid w:val="65000502"/>
    <w:rsid w:val="650C6EA7"/>
    <w:rsid w:val="655452CF"/>
    <w:rsid w:val="6578278E"/>
    <w:rsid w:val="65D06126"/>
    <w:rsid w:val="65F31E15"/>
    <w:rsid w:val="662F72F1"/>
    <w:rsid w:val="666B22F3"/>
    <w:rsid w:val="66AA4BC9"/>
    <w:rsid w:val="66D103A8"/>
    <w:rsid w:val="66E53E53"/>
    <w:rsid w:val="66F347C2"/>
    <w:rsid w:val="6716400D"/>
    <w:rsid w:val="67C96BAF"/>
    <w:rsid w:val="68550B65"/>
    <w:rsid w:val="68646FFA"/>
    <w:rsid w:val="686B0388"/>
    <w:rsid w:val="68996CA3"/>
    <w:rsid w:val="69205616"/>
    <w:rsid w:val="694A2693"/>
    <w:rsid w:val="69780FAF"/>
    <w:rsid w:val="69823BDB"/>
    <w:rsid w:val="69B53FB1"/>
    <w:rsid w:val="69D00DEB"/>
    <w:rsid w:val="6A072332"/>
    <w:rsid w:val="6A3A6264"/>
    <w:rsid w:val="6A4B221F"/>
    <w:rsid w:val="6B0E7D79"/>
    <w:rsid w:val="6B6C68F1"/>
    <w:rsid w:val="6B9171E7"/>
    <w:rsid w:val="6C97174C"/>
    <w:rsid w:val="6CAF118B"/>
    <w:rsid w:val="6CEE3336"/>
    <w:rsid w:val="6D400035"/>
    <w:rsid w:val="6DAD4F9F"/>
    <w:rsid w:val="6DE2733E"/>
    <w:rsid w:val="6E180321"/>
    <w:rsid w:val="6E6B7334"/>
    <w:rsid w:val="6E922B12"/>
    <w:rsid w:val="6EFC1D3A"/>
    <w:rsid w:val="6F0E7CBF"/>
    <w:rsid w:val="6F2F65B3"/>
    <w:rsid w:val="6F3239AE"/>
    <w:rsid w:val="6F6D70DC"/>
    <w:rsid w:val="6FB42615"/>
    <w:rsid w:val="70090BB2"/>
    <w:rsid w:val="703D260A"/>
    <w:rsid w:val="709114D5"/>
    <w:rsid w:val="70C04FE9"/>
    <w:rsid w:val="70F76C5D"/>
    <w:rsid w:val="71126430"/>
    <w:rsid w:val="71E847F7"/>
    <w:rsid w:val="72966949"/>
    <w:rsid w:val="72B8241C"/>
    <w:rsid w:val="72D80D10"/>
    <w:rsid w:val="72EB0A43"/>
    <w:rsid w:val="73217FC1"/>
    <w:rsid w:val="7399049F"/>
    <w:rsid w:val="73A11102"/>
    <w:rsid w:val="73A429A0"/>
    <w:rsid w:val="73D9089C"/>
    <w:rsid w:val="74B51309"/>
    <w:rsid w:val="74BD01BD"/>
    <w:rsid w:val="75243501"/>
    <w:rsid w:val="759929D8"/>
    <w:rsid w:val="75C5085E"/>
    <w:rsid w:val="760B6D06"/>
    <w:rsid w:val="7621477C"/>
    <w:rsid w:val="76654669"/>
    <w:rsid w:val="76CF5F86"/>
    <w:rsid w:val="779A47E6"/>
    <w:rsid w:val="77A17922"/>
    <w:rsid w:val="781F6A99"/>
    <w:rsid w:val="79020895"/>
    <w:rsid w:val="796230E1"/>
    <w:rsid w:val="797D43BF"/>
    <w:rsid w:val="7AB4796D"/>
    <w:rsid w:val="7B0C1557"/>
    <w:rsid w:val="7B0C59FB"/>
    <w:rsid w:val="7B0F1047"/>
    <w:rsid w:val="7B205002"/>
    <w:rsid w:val="7B3D59F8"/>
    <w:rsid w:val="7B42766E"/>
    <w:rsid w:val="7B551150"/>
    <w:rsid w:val="7B9B28DB"/>
    <w:rsid w:val="7BE2675B"/>
    <w:rsid w:val="7C1631D1"/>
    <w:rsid w:val="7CA73C2D"/>
    <w:rsid w:val="7DC0487A"/>
    <w:rsid w:val="7DC66335"/>
    <w:rsid w:val="7E71193F"/>
    <w:rsid w:val="7E8D29AE"/>
    <w:rsid w:val="7EE54599"/>
    <w:rsid w:val="7EE60311"/>
    <w:rsid w:val="7EFF1DB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4728</Words>
  <Characters>5196</Characters>
  <Lines>0</Lines>
  <Paragraphs>0</Paragraphs>
  <TotalTime>8</TotalTime>
  <ScaleCrop>false</ScaleCrop>
  <LinksUpToDate>false</LinksUpToDate>
  <CharactersWithSpaces>5590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逐光</cp:lastModifiedBy>
  <cp:lastPrinted>2024-07-05T08:40:53Z</cp:lastPrinted>
  <dcterms:modified xsi:type="dcterms:W3CDTF">2024-07-05T08:42:38Z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2A367BE5640D4694A097562CFB51B56D_13</vt:lpwstr>
  </property>
</Properties>
</file>