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附件：1.2023年度部门整体支出绩效评价基础数据表 </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2.2023年度部门整体支出绩效自评表</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3.2023年度项目支出绩效自评表</w:t>
      </w:r>
    </w:p>
    <w:p>
      <w:pPr>
        <w:spacing w:line="360" w:lineRule="auto"/>
        <w:ind w:left="1596" w:leftChars="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4.2023年度市直预算部门整体支出绩效自评报告 （统一参考格式）   </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5.部门整体支出绩效自评工作考核评分表</w:t>
      </w: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2023年度部门整体支出绩效评价基础数据表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21</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19</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90.48%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1571.26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1716.38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1568.18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60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59.38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2、城乡居民医保基金区级补助</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1469.7</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1614.08</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1489.33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3.职工医保基金区级补助……</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41.56</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42.3</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19.47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43.18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87.02</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86.4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3.55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2.4</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2.4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0.27</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0.27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0.03</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（2023年完工项目）</w:t>
            </w: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2023年单位完善了内控制度，严格控制经费开支，从电子卖场采购货物、服务等商品和服务，健全“三重一大”制度　</w:t>
            </w:r>
          </w:p>
        </w:tc>
      </w:tr>
    </w:tbl>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sz w:val="2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hAnsi="黑体" w:eastAsia="黑体" w:cs="黑体"/>
          <w:sz w:val="32"/>
          <w:szCs w:val="32"/>
        </w:rPr>
      </w:pPr>
      <w:r>
        <w:rPr>
          <w:rFonts w:ascii="Times New Roman" w:hAnsi="Times New Roman" w:eastAsia="仿宋_GB2312"/>
          <w:sz w:val="22"/>
        </w:rPr>
        <w:t xml:space="preserve">填表人： </w:t>
      </w:r>
      <w:r>
        <w:rPr>
          <w:rFonts w:hint="eastAsia" w:ascii="Times New Roman" w:hAnsi="Times New Roman" w:eastAsia="仿宋_GB2312"/>
          <w:sz w:val="22"/>
        </w:rPr>
        <w:t>万琼</w:t>
      </w:r>
      <w:r>
        <w:rPr>
          <w:rFonts w:ascii="Times New Roman" w:hAnsi="Times New Roman" w:eastAsia="仿宋_GB2312"/>
          <w:sz w:val="22"/>
        </w:rPr>
        <w:t xml:space="preserve"> 填报日期： </w:t>
      </w:r>
      <w:r>
        <w:rPr>
          <w:rFonts w:hint="eastAsia" w:ascii="Times New Roman" w:hAnsi="Times New Roman" w:eastAsia="仿宋_GB2312"/>
          <w:sz w:val="22"/>
        </w:rPr>
        <w:t>2024.6.26</w:t>
      </w:r>
      <w:r>
        <w:rPr>
          <w:rFonts w:ascii="Times New Roman" w:hAnsi="Times New Roman" w:eastAsia="仿宋_GB2312"/>
          <w:sz w:val="22"/>
        </w:rPr>
        <w:t xml:space="preserve">  联系电话： </w:t>
      </w:r>
      <w:r>
        <w:rPr>
          <w:rFonts w:hint="eastAsia" w:ascii="Times New Roman" w:hAnsi="Times New Roman" w:eastAsia="仿宋_GB2312"/>
          <w:sz w:val="22"/>
        </w:rPr>
        <w:t>8115337</w:t>
      </w:r>
      <w:r>
        <w:rPr>
          <w:rFonts w:ascii="Times New Roman" w:hAnsi="Times New Roman" w:eastAsia="仿宋_GB2312"/>
          <w:sz w:val="22"/>
        </w:rPr>
        <w:t xml:space="preserve"> 单位负责人签字：</w:t>
      </w:r>
      <w:r>
        <w:rPr>
          <w:rFonts w:hint="eastAsia" w:ascii="Times New Roman" w:hAnsi="Times New Roman" w:eastAsia="仿宋_GB2312"/>
          <w:sz w:val="22"/>
          <w:lang w:val="en-US" w:eastAsia="zh-CN"/>
        </w:rPr>
        <w:t>党志勤</w:t>
      </w:r>
      <w:r>
        <w:rPr>
          <w:rFonts w:ascii="Times New Roman" w:hAnsi="Times New Roman" w:eastAsia="仿宋_GB2312"/>
          <w:sz w:val="22"/>
        </w:rPr>
        <w:br w:type="page"/>
      </w:r>
      <w:r>
        <w:rPr>
          <w:rFonts w:hint="eastAsia" w:ascii="黑体" w:hAnsi="黑体" w:eastAsia="黑体" w:cs="黑体"/>
          <w:sz w:val="32"/>
          <w:szCs w:val="32"/>
        </w:rPr>
        <w:t>附件2</w:t>
      </w:r>
    </w:p>
    <w:p>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2023年度部门整体支出绩效自评表</w:t>
      </w:r>
    </w:p>
    <w:tbl>
      <w:tblPr>
        <w:tblStyle w:val="6"/>
        <w:tblW w:w="10019" w:type="dxa"/>
        <w:jc w:val="center"/>
        <w:tblLayout w:type="fixed"/>
        <w:tblCellMar>
          <w:top w:w="0" w:type="dxa"/>
          <w:left w:w="108" w:type="dxa"/>
          <w:bottom w:w="0" w:type="dxa"/>
          <w:right w:w="108" w:type="dxa"/>
        </w:tblCellMar>
      </w:tblPr>
      <w:tblGrid>
        <w:gridCol w:w="1073"/>
        <w:gridCol w:w="1073"/>
        <w:gridCol w:w="1037"/>
        <w:gridCol w:w="1327"/>
        <w:gridCol w:w="1229"/>
        <w:gridCol w:w="1261"/>
        <w:gridCol w:w="711"/>
        <w:gridCol w:w="867"/>
        <w:gridCol w:w="1441"/>
      </w:tblGrid>
      <w:tr>
        <w:tblPrEx>
          <w:tblCellMar>
            <w:top w:w="0" w:type="dxa"/>
            <w:left w:w="108" w:type="dxa"/>
            <w:bottom w:w="0" w:type="dxa"/>
            <w:right w:w="108" w:type="dxa"/>
          </w:tblCellMar>
        </w:tblPrEx>
        <w:trPr>
          <w:trHeight w:val="470" w:hRule="atLeast"/>
          <w:jc w:val="center"/>
        </w:trPr>
        <w:tc>
          <w:tcPr>
            <w:tcW w:w="107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46" w:type="dxa"/>
            <w:gridSpan w:val="8"/>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岳阳市君山区医疗保障事务中</w:t>
            </w:r>
            <w:r>
              <w:rPr>
                <w:rFonts w:hint="eastAsia" w:ascii="仿宋_GB2312" w:hAnsi="仿宋_GB2312" w:eastAsia="仿宋_GB2312" w:cs="仿宋_GB2312"/>
                <w:color w:val="000000"/>
                <w:sz w:val="20"/>
                <w:szCs w:val="20"/>
                <w:lang w:val="en-US" w:eastAsia="zh-CN"/>
              </w:rPr>
              <w:t>心</w:t>
            </w:r>
            <w:bookmarkStart w:id="0" w:name="_GoBack"/>
            <w:bookmarkEnd w:id="0"/>
          </w:p>
        </w:tc>
      </w:tr>
      <w:tr>
        <w:tblPrEx>
          <w:tblCellMar>
            <w:top w:w="0" w:type="dxa"/>
            <w:left w:w="108" w:type="dxa"/>
            <w:bottom w:w="0" w:type="dxa"/>
            <w:right w:w="108" w:type="dxa"/>
          </w:tblCellMar>
        </w:tblPrEx>
        <w:trPr>
          <w:trHeight w:val="243" w:hRule="atLeast"/>
          <w:jc w:val="center"/>
        </w:trPr>
        <w:tc>
          <w:tcPr>
            <w:tcW w:w="1073"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0"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p>
        </w:tc>
        <w:tc>
          <w:tcPr>
            <w:tcW w:w="1327"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229"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7"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243" w:hRule="atLeast"/>
          <w:jc w:val="center"/>
        </w:trPr>
        <w:tc>
          <w:tcPr>
            <w:tcW w:w="1073" w:type="dxa"/>
            <w:vMerge w:val="continue"/>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2110"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327"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1952.05</w:t>
            </w:r>
          </w:p>
        </w:tc>
        <w:tc>
          <w:tcPr>
            <w:tcW w:w="1229"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1787.04</w:t>
            </w:r>
          </w:p>
        </w:tc>
        <w:tc>
          <w:tcPr>
            <w:tcW w:w="126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1787.04</w:t>
            </w:r>
          </w:p>
        </w:tc>
        <w:tc>
          <w:tcPr>
            <w:tcW w:w="71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67"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91.55%</w:t>
            </w:r>
          </w:p>
        </w:tc>
        <w:tc>
          <w:tcPr>
            <w:tcW w:w="144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6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按收入性质分：1787.04</w:t>
            </w:r>
          </w:p>
        </w:tc>
        <w:tc>
          <w:tcPr>
            <w:tcW w:w="4280"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按支出性质分：1787.04</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6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一般公共预算：1787.04</w:t>
            </w:r>
          </w:p>
        </w:tc>
        <w:tc>
          <w:tcPr>
            <w:tcW w:w="4280"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其中：基本支出：265.46</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66" w:type="dxa"/>
            <w:gridSpan w:val="4"/>
            <w:tcBorders>
              <w:top w:val="nil"/>
              <w:left w:val="nil"/>
              <w:bottom w:val="single" w:color="auto" w:sz="4" w:space="0"/>
              <w:right w:val="single" w:color="auto" w:sz="4" w:space="0"/>
            </w:tcBorders>
            <w:noWrap/>
            <w:vAlign w:val="center"/>
          </w:tcPr>
          <w:p>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280" w:type="dxa"/>
            <w:gridSpan w:val="4"/>
            <w:tcBorders>
              <w:top w:val="nil"/>
              <w:left w:val="nil"/>
              <w:bottom w:val="single" w:color="auto" w:sz="4" w:space="0"/>
              <w:right w:val="single" w:color="auto" w:sz="4" w:space="0"/>
            </w:tcBorders>
            <w:noWrap/>
            <w:vAlign w:val="center"/>
          </w:tcPr>
          <w:p>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项目支出：1521.58</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6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280"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66" w:type="dxa"/>
            <w:gridSpan w:val="4"/>
            <w:tcBorders>
              <w:top w:val="nil"/>
              <w:left w:val="nil"/>
              <w:bottom w:val="single" w:color="auto" w:sz="4" w:space="0"/>
              <w:right w:val="single" w:color="auto" w:sz="4" w:space="0"/>
            </w:tcBorders>
            <w:noWrap/>
            <w:vAlign w:val="center"/>
          </w:tcPr>
          <w:p>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4280"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43" w:hRule="atLeast"/>
          <w:jc w:val="center"/>
        </w:trPr>
        <w:tc>
          <w:tcPr>
            <w:tcW w:w="1073"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66"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80"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390" w:hRule="atLeast"/>
          <w:jc w:val="center"/>
        </w:trPr>
        <w:tc>
          <w:tcPr>
            <w:tcW w:w="1073" w:type="dxa"/>
            <w:vMerge w:val="continue"/>
            <w:tcBorders>
              <w:top w:val="nil"/>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66"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目标</w:t>
            </w:r>
            <w:r>
              <w:rPr>
                <w:rFonts w:ascii="仿宋_GB2312" w:hAnsi="仿宋_GB2312" w:eastAsia="仿宋_GB2312" w:cs="仿宋_GB2312"/>
                <w:color w:val="000000"/>
                <w:sz w:val="20"/>
                <w:szCs w:val="20"/>
              </w:rPr>
              <w:t>1：医保参保率达到95%以上。目标2：落实医保待遇政策，待遇享受率100%。目标3、居民医保财政补贴每人670元标准补助到位，医保基金征缴应征必征。目标4、医保基金监督管理到位，区内定点医药机构每月稽核1-2次。</w:t>
            </w:r>
            <w:r>
              <w:rPr>
                <w:rFonts w:hint="eastAsia" w:ascii="仿宋_GB2312" w:hAnsi="仿宋_GB2312" w:eastAsia="仿宋_GB2312" w:cs="仿宋_GB2312"/>
                <w:color w:val="000000"/>
                <w:sz w:val="20"/>
                <w:szCs w:val="20"/>
              </w:rPr>
              <w:t>　　</w:t>
            </w:r>
          </w:p>
        </w:tc>
        <w:tc>
          <w:tcPr>
            <w:tcW w:w="4280"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eastAsia="仿宋_GB2312"/>
                <w:color w:val="000000"/>
                <w:sz w:val="20"/>
                <w:szCs w:val="20"/>
              </w:rPr>
              <w:t>全区城乡居民医保参保按常住人口为基数计算参保率达95.47%，按时足额跟进财政补助资金到位，按政策落实参保人医疗待遇，及时监测资金使用情况，加强风险预警，加强医保政策宣传，提升群众对医保政策的知晓率和满意度。</w:t>
            </w:r>
          </w:p>
        </w:tc>
      </w:tr>
      <w:tr>
        <w:tblPrEx>
          <w:tblCellMar>
            <w:top w:w="0" w:type="dxa"/>
            <w:left w:w="108" w:type="dxa"/>
            <w:bottom w:w="0" w:type="dxa"/>
            <w:right w:w="108" w:type="dxa"/>
          </w:tblCellMar>
        </w:tblPrEx>
        <w:trPr>
          <w:trHeight w:val="470" w:hRule="atLeast"/>
          <w:jc w:val="center"/>
        </w:trPr>
        <w:tc>
          <w:tcPr>
            <w:tcW w:w="1073"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ascii="仿宋_GB2312" w:hAnsi="仿宋_GB2312" w:eastAsia="仿宋_GB2312" w:cs="仿宋_GB2312"/>
                <w:color w:val="000000"/>
                <w:sz w:val="20"/>
                <w:szCs w:val="20"/>
              </w:rPr>
            </w:pPr>
          </w:p>
        </w:tc>
        <w:tc>
          <w:tcPr>
            <w:tcW w:w="10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29"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1"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1"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ascii="仿宋_GB2312" w:hAnsi="仿宋_GB2312" w:eastAsia="仿宋_GB2312" w:cs="仿宋_GB2312"/>
                <w:color w:val="000000"/>
                <w:sz w:val="20"/>
                <w:szCs w:val="20"/>
              </w:rPr>
            </w:pP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7"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2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定点医药机构稽核次数</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≥15次</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20次</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医疗保险待遇保障</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00"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医疗保险待遇支付完成及时率</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财政补助资金</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定性</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控制在预算内</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restart"/>
            <w:tcBorders>
              <w:top w:val="nil"/>
              <w:left w:val="nil"/>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ascii="仿宋_GB2312" w:hAnsi="仿宋_GB2312" w:eastAsia="仿宋_GB2312" w:cs="仿宋_GB2312"/>
                <w:color w:val="000000"/>
                <w:sz w:val="20"/>
                <w:szCs w:val="20"/>
              </w:rPr>
            </w:pP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7"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财政补助资金到位情况</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定性</w:t>
            </w:r>
            <w:r>
              <w:rPr>
                <w:rFonts w:ascii="仿宋_GB2312" w:hAnsi="仿宋_GB2312" w:eastAsia="仿宋_GB2312" w:cs="仿宋_GB2312"/>
                <w:color w:val="000000"/>
                <w:sz w:val="20"/>
                <w:szCs w:val="20"/>
              </w:rPr>
              <w:t xml:space="preserve">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640元/人</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医疗保险问题得到保障</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定性</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有效加强</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00"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市域内一站式即时结算覆盖地区</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定性</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稳步拓展</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73"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70" w:hRule="atLeast"/>
          <w:jc w:val="center"/>
        </w:trPr>
        <w:tc>
          <w:tcPr>
            <w:tcW w:w="1073" w:type="dxa"/>
            <w:vMerge w:val="continue"/>
            <w:tcBorders>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37"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2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封顶住院补偿金</w:t>
            </w:r>
          </w:p>
        </w:tc>
        <w:tc>
          <w:tcPr>
            <w:tcW w:w="122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定性</w:t>
            </w:r>
          </w:p>
        </w:tc>
        <w:tc>
          <w:tcPr>
            <w:tcW w:w="126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≤55万元</w:t>
            </w:r>
          </w:p>
        </w:tc>
        <w:tc>
          <w:tcPr>
            <w:tcW w:w="7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2"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327"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22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2"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37" w:type="dxa"/>
            <w:vMerge w:val="continue"/>
            <w:tcBorders>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27"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7" w:type="dxa"/>
            <w:vMerge w:val="restart"/>
            <w:tcBorders>
              <w:top w:val="nil"/>
              <w:left w:val="nil"/>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群众满意度</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2" w:hRule="atLeast"/>
          <w:jc w:val="center"/>
        </w:trPr>
        <w:tc>
          <w:tcPr>
            <w:tcW w:w="1073"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7" w:type="dxa"/>
            <w:vMerge w:val="continue"/>
            <w:tcBorders>
              <w:left w:val="nil"/>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2" w:hRule="atLeast"/>
          <w:jc w:val="center"/>
        </w:trPr>
        <w:tc>
          <w:tcPr>
            <w:tcW w:w="1073" w:type="dxa"/>
            <w:vMerge w:val="continue"/>
            <w:tcBorders>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73" w:type="dxa"/>
            <w:vMerge w:val="continue"/>
            <w:tcBorders>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37" w:type="dxa"/>
            <w:vMerge w:val="continue"/>
            <w:tcBorders>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327"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22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7000"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7"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98</w:t>
            </w:r>
          </w:p>
        </w:tc>
        <w:tc>
          <w:tcPr>
            <w:tcW w:w="144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ascii="Times New Roman" w:hAnsi="Times New Roman" w:eastAsia="黑体"/>
          <w:sz w:val="32"/>
          <w:szCs w:val="32"/>
        </w:rPr>
      </w:pPr>
      <w:r>
        <w:rPr>
          <w:rFonts w:ascii="Times New Roman" w:hAnsi="Times New Roman" w:eastAsia="仿宋_GB2312"/>
          <w:sz w:val="22"/>
          <w:szCs w:val="22"/>
        </w:rPr>
        <w:t>填表人：</w:t>
      </w:r>
      <w:r>
        <w:rPr>
          <w:rFonts w:hint="eastAsia" w:ascii="Times New Roman" w:hAnsi="Times New Roman" w:eastAsia="仿宋_GB2312"/>
          <w:sz w:val="22"/>
          <w:szCs w:val="22"/>
        </w:rPr>
        <w:t xml:space="preserve">万琼   </w:t>
      </w:r>
      <w:r>
        <w:rPr>
          <w:rFonts w:ascii="Times New Roman" w:hAnsi="Times New Roman" w:eastAsia="仿宋_GB2312"/>
          <w:sz w:val="22"/>
          <w:szCs w:val="22"/>
        </w:rPr>
        <w:t>填报日期：</w:t>
      </w:r>
      <w:r>
        <w:rPr>
          <w:rFonts w:hint="eastAsia" w:ascii="Times New Roman" w:hAnsi="Times New Roman" w:eastAsia="仿宋_GB2312"/>
          <w:sz w:val="22"/>
          <w:szCs w:val="22"/>
        </w:rPr>
        <w:t xml:space="preserve">2024.6.26   </w:t>
      </w:r>
      <w:r>
        <w:rPr>
          <w:rFonts w:ascii="Times New Roman" w:hAnsi="Times New Roman" w:eastAsia="仿宋_GB2312"/>
          <w:sz w:val="22"/>
          <w:szCs w:val="22"/>
        </w:rPr>
        <w:t>联系电话：</w:t>
      </w:r>
      <w:r>
        <w:rPr>
          <w:rFonts w:hint="eastAsia" w:ascii="Times New Roman" w:hAnsi="Times New Roman" w:eastAsia="仿宋_GB2312"/>
          <w:sz w:val="22"/>
          <w:szCs w:val="22"/>
        </w:rPr>
        <w:t>8115337</w:t>
      </w:r>
      <w:r>
        <w:rPr>
          <w:rFonts w:ascii="Times New Roman" w:hAnsi="Times New Roman" w:eastAsia="仿宋_GB2312"/>
          <w:sz w:val="22"/>
          <w:szCs w:val="22"/>
        </w:rPr>
        <w:t xml:space="preserve">     单位负责人签字：</w:t>
      </w:r>
      <w:r>
        <w:rPr>
          <w:rFonts w:hint="eastAsia" w:ascii="Times New Roman" w:hAnsi="Times New Roman" w:eastAsia="仿宋_GB2312"/>
          <w:sz w:val="22"/>
          <w:szCs w:val="22"/>
          <w:lang w:val="en-US" w:eastAsia="zh-CN"/>
        </w:rPr>
        <w:t>党志勤</w:t>
      </w:r>
      <w:r>
        <w:rPr>
          <w:rFonts w:ascii="Times New Roman" w:hAnsi="Times New Roman" w:eastAsia="仿宋_GB2312"/>
          <w:sz w:val="22"/>
          <w:szCs w:val="22"/>
        </w:rPr>
        <w:br w:type="page"/>
      </w:r>
      <w:r>
        <w:rPr>
          <w:rFonts w:hint="eastAsia" w:ascii="黑体" w:hAnsi="黑体" w:eastAsia="黑体" w:cs="黑体"/>
          <w:sz w:val="32"/>
          <w:szCs w:val="32"/>
        </w:rPr>
        <w:t>附件3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6"/>
        <w:tblpPr w:leftFromText="180" w:rightFromText="180" w:vertAnchor="text" w:horzAnchor="page" w:tblpX="1175" w:tblpY="545"/>
        <w:tblOverlap w:val="never"/>
        <w:tblW w:w="9796" w:type="dxa"/>
        <w:tblInd w:w="0" w:type="dxa"/>
        <w:tblLayout w:type="fixed"/>
        <w:tblCellMar>
          <w:top w:w="0" w:type="dxa"/>
          <w:left w:w="108" w:type="dxa"/>
          <w:bottom w:w="0" w:type="dxa"/>
          <w:right w:w="108" w:type="dxa"/>
        </w:tblCellMar>
      </w:tblPr>
      <w:tblGrid>
        <w:gridCol w:w="1007"/>
        <w:gridCol w:w="707"/>
        <w:gridCol w:w="1278"/>
        <w:gridCol w:w="1142"/>
        <w:gridCol w:w="274"/>
        <w:gridCol w:w="283"/>
        <w:gridCol w:w="567"/>
        <w:gridCol w:w="425"/>
        <w:gridCol w:w="711"/>
        <w:gridCol w:w="228"/>
        <w:gridCol w:w="764"/>
        <w:gridCol w:w="284"/>
        <w:gridCol w:w="225"/>
        <w:gridCol w:w="484"/>
        <w:gridCol w:w="186"/>
        <w:gridCol w:w="522"/>
        <w:gridCol w:w="709"/>
      </w:tblGrid>
      <w:tr>
        <w:tblPrEx>
          <w:tblCellMar>
            <w:top w:w="0" w:type="dxa"/>
            <w:left w:w="108" w:type="dxa"/>
            <w:bottom w:w="0" w:type="dxa"/>
            <w:right w:w="108" w:type="dxa"/>
          </w:tblCellMar>
        </w:tblPrEx>
        <w:trPr>
          <w:trHeight w:val="288" w:hRule="atLeast"/>
        </w:trPr>
        <w:tc>
          <w:tcPr>
            <w:tcW w:w="1007" w:type="dxa"/>
            <w:tcBorders>
              <w:top w:val="single" w:color="auto" w:sz="8" w:space="0"/>
              <w:left w:val="single" w:color="auto" w:sz="8" w:space="0"/>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项目支</w:t>
            </w:r>
          </w:p>
        </w:tc>
        <w:tc>
          <w:tcPr>
            <w:tcW w:w="8789" w:type="dxa"/>
            <w:gridSpan w:val="16"/>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城乡居民基本医疗保险区级补助</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出名称</w:t>
            </w:r>
          </w:p>
        </w:tc>
        <w:tc>
          <w:tcPr>
            <w:tcW w:w="8789" w:type="dxa"/>
            <w:gridSpan w:val="16"/>
            <w:vMerge w:val="continue"/>
            <w:tcBorders>
              <w:top w:val="nil"/>
              <w:left w:val="single" w:color="auto" w:sz="8" w:space="0"/>
              <w:bottom w:val="single" w:color="auto" w:sz="8" w:space="0"/>
              <w:right w:val="single" w:color="auto" w:sz="8"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主管部门</w:t>
            </w:r>
          </w:p>
        </w:tc>
        <w:tc>
          <w:tcPr>
            <w:tcW w:w="3401" w:type="dxa"/>
            <w:gridSpan w:val="4"/>
            <w:tcBorders>
              <w:top w:val="single" w:color="auto" w:sz="8" w:space="0"/>
              <w:left w:val="nil"/>
              <w:bottom w:val="single" w:color="auto" w:sz="8" w:space="0"/>
              <w:right w:val="single" w:color="000000"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岳阳市君山区医疗保障局</w:t>
            </w:r>
          </w:p>
        </w:tc>
        <w:tc>
          <w:tcPr>
            <w:tcW w:w="3487" w:type="dxa"/>
            <w:gridSpan w:val="8"/>
            <w:tcBorders>
              <w:top w:val="nil"/>
              <w:left w:val="nil"/>
              <w:bottom w:val="single" w:color="auto" w:sz="8" w:space="0"/>
              <w:right w:val="single" w:color="000000"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实施单位</w:t>
            </w:r>
          </w:p>
        </w:tc>
        <w:tc>
          <w:tcPr>
            <w:tcW w:w="1901" w:type="dxa"/>
            <w:gridSpan w:val="4"/>
            <w:tcBorders>
              <w:top w:val="single" w:color="auto" w:sz="8" w:space="0"/>
              <w:left w:val="nil"/>
              <w:bottom w:val="single" w:color="auto" w:sz="8" w:space="0"/>
              <w:right w:val="single" w:color="000000"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岳阳市君山区医疗保障事务中心</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项目资金</w:t>
            </w:r>
          </w:p>
        </w:tc>
        <w:tc>
          <w:tcPr>
            <w:tcW w:w="1985" w:type="dxa"/>
            <w:gridSpan w:val="2"/>
            <w:vMerge w:val="restart"/>
            <w:tcBorders>
              <w:top w:val="single" w:color="auto" w:sz="8" w:space="0"/>
              <w:left w:val="single" w:color="auto" w:sz="8" w:space="0"/>
              <w:bottom w:val="single" w:color="000000" w:sz="8" w:space="0"/>
              <w:right w:val="single" w:color="000000"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699" w:type="dxa"/>
            <w:gridSpan w:val="3"/>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年初</w:t>
            </w:r>
          </w:p>
        </w:tc>
        <w:tc>
          <w:tcPr>
            <w:tcW w:w="992" w:type="dxa"/>
            <w:gridSpan w:val="2"/>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全年</w:t>
            </w:r>
          </w:p>
        </w:tc>
        <w:tc>
          <w:tcPr>
            <w:tcW w:w="939" w:type="dxa"/>
            <w:gridSpan w:val="2"/>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全年</w:t>
            </w:r>
          </w:p>
        </w:tc>
        <w:tc>
          <w:tcPr>
            <w:tcW w:w="1048" w:type="dxa"/>
            <w:gridSpan w:val="2"/>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分值</w:t>
            </w:r>
          </w:p>
        </w:tc>
        <w:tc>
          <w:tcPr>
            <w:tcW w:w="895" w:type="dxa"/>
            <w:gridSpan w:val="3"/>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执行率</w:t>
            </w:r>
          </w:p>
        </w:tc>
        <w:tc>
          <w:tcPr>
            <w:tcW w:w="1231" w:type="dxa"/>
            <w:gridSpan w:val="2"/>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得分</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（万元）</w:t>
            </w:r>
          </w:p>
        </w:tc>
        <w:tc>
          <w:tcPr>
            <w:tcW w:w="1985" w:type="dxa"/>
            <w:gridSpan w:val="2"/>
            <w:vMerge w:val="continue"/>
            <w:tcBorders>
              <w:top w:val="nil"/>
              <w:left w:val="single" w:color="auto" w:sz="8" w:space="0"/>
              <w:bottom w:val="nil"/>
              <w:right w:val="single" w:color="auto" w:sz="8" w:space="0"/>
            </w:tcBorders>
            <w:vAlign w:val="center"/>
          </w:tcPr>
          <w:p>
            <w:pPr>
              <w:rPr>
                <w:rFonts w:ascii="仿宋_GB2312" w:hAnsi="宋体" w:eastAsia="仿宋_GB2312" w:cs="宋体"/>
                <w:color w:val="000000"/>
                <w:sz w:val="20"/>
                <w:szCs w:val="20"/>
              </w:rPr>
            </w:pPr>
          </w:p>
        </w:tc>
        <w:tc>
          <w:tcPr>
            <w:tcW w:w="1699"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预算数</w:t>
            </w:r>
          </w:p>
        </w:tc>
        <w:tc>
          <w:tcPr>
            <w:tcW w:w="992"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预算数</w:t>
            </w:r>
          </w:p>
        </w:tc>
        <w:tc>
          <w:tcPr>
            <w:tcW w:w="939"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执行数</w:t>
            </w:r>
          </w:p>
        </w:tc>
        <w:tc>
          <w:tcPr>
            <w:tcW w:w="1048" w:type="dxa"/>
            <w:gridSpan w:val="2"/>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895" w:type="dxa"/>
            <w:gridSpan w:val="3"/>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231" w:type="dxa"/>
            <w:gridSpan w:val="2"/>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single" w:color="auto" w:sz="8" w:space="0"/>
              <w:left w:val="nil"/>
              <w:bottom w:val="single" w:color="auto" w:sz="8" w:space="0"/>
              <w:right w:val="single" w:color="000000"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年度资金总额　</w:t>
            </w:r>
          </w:p>
        </w:tc>
        <w:tc>
          <w:tcPr>
            <w:tcW w:w="1699"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39"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8"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95"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single" w:color="auto" w:sz="8" w:space="0"/>
              <w:left w:val="nil"/>
              <w:bottom w:val="single" w:color="auto" w:sz="8" w:space="0"/>
              <w:right w:val="single" w:color="000000"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其中：当年财政拨款　</w:t>
            </w:r>
          </w:p>
        </w:tc>
        <w:tc>
          <w:tcPr>
            <w:tcW w:w="1699"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1614.08</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1614.08</w:t>
            </w:r>
          </w:p>
        </w:tc>
        <w:tc>
          <w:tcPr>
            <w:tcW w:w="939"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1489.33</w:t>
            </w:r>
          </w:p>
        </w:tc>
        <w:tc>
          <w:tcPr>
            <w:tcW w:w="1048"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895"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92.27%</w:t>
            </w:r>
          </w:p>
        </w:tc>
        <w:tc>
          <w:tcPr>
            <w:tcW w:w="1231"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9</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single" w:color="auto" w:sz="8" w:space="0"/>
              <w:left w:val="nil"/>
              <w:bottom w:val="single" w:color="auto" w:sz="8" w:space="0"/>
              <w:right w:val="single" w:color="000000" w:sz="8" w:space="0"/>
            </w:tcBorders>
            <w:shd w:val="clear" w:color="auto" w:fill="auto"/>
            <w:noWrap/>
            <w:vAlign w:val="center"/>
          </w:tcPr>
          <w:p>
            <w:pPr>
              <w:ind w:firstLine="600" w:firstLineChars="300"/>
              <w:rPr>
                <w:rFonts w:ascii="仿宋_GB2312" w:hAnsi="宋体" w:eastAsia="仿宋_GB2312" w:cs="宋体"/>
                <w:color w:val="000000"/>
                <w:sz w:val="20"/>
                <w:szCs w:val="20"/>
              </w:rPr>
            </w:pPr>
            <w:r>
              <w:rPr>
                <w:rFonts w:hint="eastAsia" w:ascii="仿宋_GB2312" w:eastAsia="仿宋_GB2312"/>
                <w:color w:val="000000"/>
                <w:sz w:val="20"/>
                <w:szCs w:val="20"/>
              </w:rPr>
              <w:t>上年结转资金　</w:t>
            </w:r>
          </w:p>
        </w:tc>
        <w:tc>
          <w:tcPr>
            <w:tcW w:w="1699"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39"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8"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95"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single" w:color="000000" w:sz="8" w:space="0"/>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single" w:color="auto" w:sz="8" w:space="0"/>
              <w:left w:val="nil"/>
              <w:bottom w:val="single" w:color="auto" w:sz="8" w:space="0"/>
              <w:right w:val="single" w:color="000000" w:sz="8" w:space="0"/>
            </w:tcBorders>
            <w:shd w:val="clear" w:color="auto" w:fill="auto"/>
            <w:noWrap/>
            <w:vAlign w:val="center"/>
          </w:tcPr>
          <w:p>
            <w:pPr>
              <w:ind w:firstLine="600" w:firstLineChars="300"/>
              <w:rPr>
                <w:rFonts w:ascii="仿宋_GB2312" w:hAnsi="宋体" w:eastAsia="仿宋_GB2312" w:cs="宋体"/>
                <w:color w:val="000000"/>
                <w:sz w:val="20"/>
                <w:szCs w:val="20"/>
              </w:rPr>
            </w:pPr>
            <w:r>
              <w:rPr>
                <w:rFonts w:hint="eastAsia" w:ascii="仿宋_GB2312" w:eastAsia="仿宋_GB2312"/>
                <w:color w:val="000000"/>
                <w:sz w:val="20"/>
                <w:szCs w:val="20"/>
              </w:rPr>
              <w:t>其他资金</w:t>
            </w:r>
          </w:p>
        </w:tc>
        <w:tc>
          <w:tcPr>
            <w:tcW w:w="1699"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39"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048"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95"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31"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年度总体目标</w:t>
            </w:r>
          </w:p>
        </w:tc>
        <w:tc>
          <w:tcPr>
            <w:tcW w:w="1985" w:type="dxa"/>
            <w:gridSpan w:val="2"/>
            <w:tcBorders>
              <w:top w:val="single" w:color="auto" w:sz="8" w:space="0"/>
              <w:left w:val="nil"/>
              <w:bottom w:val="single" w:color="auto" w:sz="8" w:space="0"/>
              <w:right w:val="single" w:color="000000"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预期目标</w:t>
            </w:r>
          </w:p>
        </w:tc>
        <w:tc>
          <w:tcPr>
            <w:tcW w:w="6804" w:type="dxa"/>
            <w:gridSpan w:val="14"/>
            <w:tcBorders>
              <w:top w:val="single" w:color="auto" w:sz="8" w:space="0"/>
              <w:left w:val="nil"/>
              <w:bottom w:val="single" w:color="auto" w:sz="8" w:space="0"/>
              <w:right w:val="single" w:color="000000"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实际完成情况　</w:t>
            </w:r>
          </w:p>
        </w:tc>
      </w:tr>
      <w:tr>
        <w:tblPrEx>
          <w:tblCellMar>
            <w:top w:w="0" w:type="dxa"/>
            <w:left w:w="108" w:type="dxa"/>
            <w:bottom w:w="0" w:type="dxa"/>
            <w:right w:w="108" w:type="dxa"/>
          </w:tblCellMar>
        </w:tblPrEx>
        <w:trPr>
          <w:trHeight w:val="1320" w:hRule="atLeast"/>
        </w:trPr>
        <w:tc>
          <w:tcPr>
            <w:tcW w:w="1007"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985" w:type="dxa"/>
            <w:gridSpan w:val="2"/>
            <w:tcBorders>
              <w:top w:val="single" w:color="auto" w:sz="8" w:space="0"/>
              <w:left w:val="nil"/>
              <w:bottom w:val="single" w:color="auto" w:sz="8" w:space="0"/>
              <w:right w:val="single" w:color="000000" w:sz="8"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目标1：巩固参保率，达到95%。目标2：稳步提高保障水平。目标三：实现基金收支平衡。</w:t>
            </w:r>
          </w:p>
        </w:tc>
        <w:tc>
          <w:tcPr>
            <w:tcW w:w="6804" w:type="dxa"/>
            <w:gridSpan w:val="14"/>
            <w:tcBorders>
              <w:top w:val="single" w:color="auto" w:sz="8" w:space="0"/>
              <w:left w:val="nil"/>
              <w:bottom w:val="single" w:color="auto" w:sz="8" w:space="0"/>
              <w:right w:val="single" w:color="000000" w:sz="8"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全区城乡居民医保参保按常住人口为基数计算参保率达95.47%，按时足额跟进财政补助资金到位，按政策落实参保人医疗待遇，及时监测资金使用情况，加强风险预警，加强医保政策宣传，提升群众对医保政策的知晓率和满意度。</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绩</w:t>
            </w:r>
          </w:p>
        </w:tc>
        <w:tc>
          <w:tcPr>
            <w:tcW w:w="1985" w:type="dxa"/>
            <w:gridSpan w:val="2"/>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一级指标</w:t>
            </w:r>
          </w:p>
        </w:tc>
        <w:tc>
          <w:tcPr>
            <w:tcW w:w="114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二级指标</w:t>
            </w:r>
          </w:p>
        </w:tc>
        <w:tc>
          <w:tcPr>
            <w:tcW w:w="1124" w:type="dxa"/>
            <w:gridSpan w:val="3"/>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三级指标</w:t>
            </w:r>
          </w:p>
        </w:tc>
        <w:tc>
          <w:tcPr>
            <w:tcW w:w="1136" w:type="dxa"/>
            <w:gridSpan w:val="2"/>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年度</w:t>
            </w:r>
          </w:p>
        </w:tc>
        <w:tc>
          <w:tcPr>
            <w:tcW w:w="992" w:type="dxa"/>
            <w:gridSpan w:val="2"/>
            <w:tcBorders>
              <w:top w:val="nil"/>
              <w:left w:val="nil"/>
              <w:bottom w:val="nil"/>
              <w:right w:val="single" w:color="auto" w:sz="8" w:space="0"/>
            </w:tcBorders>
            <w:shd w:val="clear" w:color="auto" w:fill="auto"/>
            <w:noWrap/>
            <w:vAlign w:val="center"/>
          </w:tcPr>
          <w:p>
            <w:pPr>
              <w:ind w:right="-25" w:rightChars="-9"/>
              <w:jc w:val="center"/>
              <w:rPr>
                <w:rFonts w:ascii="仿宋_GB2312" w:hAnsi="宋体" w:eastAsia="仿宋_GB2312" w:cs="宋体"/>
                <w:color w:val="000000"/>
                <w:sz w:val="20"/>
                <w:szCs w:val="20"/>
              </w:rPr>
            </w:pPr>
            <w:r>
              <w:rPr>
                <w:rFonts w:hint="eastAsia" w:ascii="仿宋_GB2312" w:eastAsia="仿宋_GB2312"/>
                <w:color w:val="000000"/>
                <w:sz w:val="20"/>
                <w:szCs w:val="20"/>
              </w:rPr>
              <w:t>实际</w:t>
            </w:r>
          </w:p>
        </w:tc>
        <w:tc>
          <w:tcPr>
            <w:tcW w:w="993" w:type="dxa"/>
            <w:gridSpan w:val="3"/>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分值</w:t>
            </w:r>
          </w:p>
        </w:tc>
        <w:tc>
          <w:tcPr>
            <w:tcW w:w="708" w:type="dxa"/>
            <w:gridSpan w:val="2"/>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得分</w:t>
            </w:r>
          </w:p>
        </w:tc>
        <w:tc>
          <w:tcPr>
            <w:tcW w:w="709" w:type="dxa"/>
            <w:vMerge w:val="restart"/>
            <w:tcBorders>
              <w:top w:val="nil"/>
              <w:left w:val="single" w:color="auto" w:sz="8" w:space="0"/>
              <w:bottom w:val="single" w:color="000000"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偏差原因分析及改进措施</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效</w:t>
            </w:r>
          </w:p>
        </w:tc>
        <w:tc>
          <w:tcPr>
            <w:tcW w:w="1985" w:type="dxa"/>
            <w:gridSpan w:val="2"/>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36"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指标值</w:t>
            </w:r>
          </w:p>
        </w:tc>
        <w:tc>
          <w:tcPr>
            <w:tcW w:w="992"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完成值</w:t>
            </w:r>
          </w:p>
        </w:tc>
        <w:tc>
          <w:tcPr>
            <w:tcW w:w="993" w:type="dxa"/>
            <w:gridSpan w:val="3"/>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708" w:type="dxa"/>
            <w:gridSpan w:val="2"/>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709"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指</w:t>
            </w:r>
          </w:p>
        </w:tc>
        <w:tc>
          <w:tcPr>
            <w:tcW w:w="1985" w:type="dxa"/>
            <w:gridSpan w:val="2"/>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产出指标</w:t>
            </w:r>
          </w:p>
        </w:tc>
        <w:tc>
          <w:tcPr>
            <w:tcW w:w="114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数量指标</w:t>
            </w:r>
          </w:p>
        </w:tc>
        <w:tc>
          <w:tcPr>
            <w:tcW w:w="112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医保人数参保率</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95%</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95.47%</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标</w:t>
            </w:r>
          </w:p>
        </w:tc>
        <w:tc>
          <w:tcPr>
            <w:tcW w:w="1985" w:type="dxa"/>
            <w:gridSpan w:val="2"/>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重复参保参数（人）</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0</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0</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(50分)</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虚假参保人数（人）</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0</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0</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质量指标</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医疗保险待遇保障</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100%</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100%</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时效指标</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医疗保险待遇支付完成及时率</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100%</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100%</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714" w:type="dxa"/>
            <w:gridSpan w:val="2"/>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278" w:type="dxa"/>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成本指标</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封顶住院补偿金（万元）</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55</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55</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single" w:color="auto" w:sz="8" w:space="0"/>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效益指标</w:t>
            </w:r>
          </w:p>
        </w:tc>
        <w:tc>
          <w:tcPr>
            <w:tcW w:w="1142" w:type="dxa"/>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经济效</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财政补助资金到位情况（元）</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640</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640</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2" w:type="dxa"/>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益指标</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（30分）</w:t>
            </w:r>
          </w:p>
        </w:tc>
        <w:tc>
          <w:tcPr>
            <w:tcW w:w="1142" w:type="dxa"/>
            <w:tcBorders>
              <w:top w:val="nil"/>
              <w:left w:val="nil"/>
              <w:bottom w:val="single" w:color="auto" w:sz="8" w:space="0"/>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42" w:type="dxa"/>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社会效</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医疗保险问题得到保障</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100%</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100%</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益指标</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tcBorders>
              <w:top w:val="nil"/>
              <w:left w:val="nil"/>
              <w:bottom w:val="single" w:color="auto" w:sz="8" w:space="0"/>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生态效</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益指标</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tcBorders>
              <w:top w:val="nil"/>
              <w:left w:val="nil"/>
              <w:bottom w:val="single" w:color="auto" w:sz="8" w:space="0"/>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可持续影响指标</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基金滚存结余可支配月数（月）</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6-9</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9</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single" w:color="auto" w:sz="8" w:space="0"/>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满意度</w:t>
            </w:r>
          </w:p>
        </w:tc>
        <w:tc>
          <w:tcPr>
            <w:tcW w:w="1142" w:type="dxa"/>
            <w:vMerge w:val="restart"/>
            <w:tcBorders>
              <w:top w:val="nil"/>
              <w:left w:val="single" w:color="auto" w:sz="8" w:space="0"/>
              <w:bottom w:val="single" w:color="000000"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服务对象满意度指标</w:t>
            </w: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服务满意度</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95%</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95%</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nil"/>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nil"/>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指标</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1007" w:type="dxa"/>
            <w:tcBorders>
              <w:top w:val="nil"/>
              <w:left w:val="single" w:color="auto" w:sz="8" w:space="0"/>
              <w:bottom w:val="single" w:color="auto" w:sz="8" w:space="0"/>
              <w:right w:val="single" w:color="auto" w:sz="8" w:space="0"/>
            </w:tcBorders>
            <w:shd w:val="clear" w:color="auto" w:fill="auto"/>
            <w:noWrap/>
            <w:vAlign w:val="center"/>
          </w:tcPr>
          <w:p>
            <w:pPr>
              <w:rPr>
                <w:rFonts w:ascii="宋体" w:hAnsi="宋体" w:cs="宋体"/>
                <w:color w:val="000000"/>
                <w:sz w:val="22"/>
                <w:szCs w:val="22"/>
              </w:rPr>
            </w:pPr>
            <w:r>
              <w:rPr>
                <w:rFonts w:hint="eastAsia"/>
                <w:color w:val="000000"/>
                <w:sz w:val="22"/>
                <w:szCs w:val="22"/>
              </w:rPr>
              <w:t>　</w:t>
            </w:r>
          </w:p>
        </w:tc>
        <w:tc>
          <w:tcPr>
            <w:tcW w:w="1985"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（10分）</w:t>
            </w:r>
          </w:p>
        </w:tc>
        <w:tc>
          <w:tcPr>
            <w:tcW w:w="1142" w:type="dxa"/>
            <w:vMerge w:val="continue"/>
            <w:tcBorders>
              <w:top w:val="nil"/>
              <w:left w:val="single" w:color="auto" w:sz="8" w:space="0"/>
              <w:bottom w:val="single" w:color="000000" w:sz="8" w:space="0"/>
              <w:right w:val="single" w:color="auto" w:sz="8" w:space="0"/>
            </w:tcBorders>
            <w:vAlign w:val="center"/>
          </w:tcPr>
          <w:p>
            <w:pPr>
              <w:rPr>
                <w:rFonts w:ascii="仿宋_GB2312" w:hAnsi="宋体" w:eastAsia="仿宋_GB2312" w:cs="宋体"/>
                <w:color w:val="000000"/>
                <w:sz w:val="20"/>
                <w:szCs w:val="20"/>
              </w:rPr>
            </w:pPr>
          </w:p>
        </w:tc>
        <w:tc>
          <w:tcPr>
            <w:tcW w:w="1124" w:type="dxa"/>
            <w:gridSpan w:val="3"/>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w:t>
            </w:r>
          </w:p>
        </w:tc>
        <w:tc>
          <w:tcPr>
            <w:tcW w:w="1136"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8" w:type="dxa"/>
            <w:gridSpan w:val="2"/>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r>
        <w:tblPrEx>
          <w:tblCellMar>
            <w:top w:w="0" w:type="dxa"/>
            <w:left w:w="108" w:type="dxa"/>
            <w:bottom w:w="0" w:type="dxa"/>
            <w:right w:w="108" w:type="dxa"/>
          </w:tblCellMar>
        </w:tblPrEx>
        <w:trPr>
          <w:trHeight w:val="288" w:hRule="atLeast"/>
        </w:trPr>
        <w:tc>
          <w:tcPr>
            <w:tcW w:w="7386" w:type="dxa"/>
            <w:gridSpan w:val="11"/>
            <w:tcBorders>
              <w:top w:val="single" w:color="auto" w:sz="8" w:space="0"/>
              <w:left w:val="single" w:color="auto" w:sz="8" w:space="0"/>
              <w:bottom w:val="single" w:color="auto" w:sz="8" w:space="0"/>
              <w:right w:val="single" w:color="000000"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总分</w:t>
            </w:r>
          </w:p>
        </w:tc>
        <w:tc>
          <w:tcPr>
            <w:tcW w:w="993" w:type="dxa"/>
            <w:gridSpan w:val="3"/>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100</w:t>
            </w:r>
          </w:p>
        </w:tc>
        <w:tc>
          <w:tcPr>
            <w:tcW w:w="708" w:type="dxa"/>
            <w:gridSpan w:val="2"/>
            <w:tcBorders>
              <w:top w:val="nil"/>
              <w:left w:val="nil"/>
              <w:bottom w:val="single" w:color="auto" w:sz="8" w:space="0"/>
              <w:right w:val="single" w:color="auto" w:sz="8" w:space="0"/>
            </w:tcBorders>
            <w:shd w:val="clear" w:color="auto" w:fill="auto"/>
            <w:noWrap/>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99</w:t>
            </w:r>
          </w:p>
        </w:tc>
        <w:tc>
          <w:tcPr>
            <w:tcW w:w="709"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r>
    </w:tbl>
    <w:p>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pPr>
        <w:rPr>
          <w:rFonts w:ascii="Times New Roman" w:hAnsi="Times New Roman" w:eastAsia="仿宋_GB2312"/>
          <w:sz w:val="22"/>
          <w:szCs w:val="2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左瑶  </w:t>
      </w:r>
      <w:r>
        <w:rPr>
          <w:rFonts w:ascii="Times New Roman" w:hAnsi="Times New Roman" w:eastAsia="仿宋_GB2312"/>
          <w:sz w:val="22"/>
          <w:szCs w:val="22"/>
        </w:rPr>
        <w:t xml:space="preserve"> 填报日期：</w:t>
      </w:r>
      <w:r>
        <w:rPr>
          <w:rFonts w:hint="eastAsia" w:ascii="Times New Roman" w:hAnsi="Times New Roman" w:eastAsia="仿宋_GB2312"/>
          <w:sz w:val="22"/>
          <w:szCs w:val="22"/>
        </w:rPr>
        <w:t>2024.6.26</w:t>
      </w:r>
      <w:r>
        <w:rPr>
          <w:rFonts w:ascii="Times New Roman" w:hAnsi="Times New Roman" w:eastAsia="仿宋_GB2312"/>
          <w:sz w:val="22"/>
          <w:szCs w:val="22"/>
        </w:rPr>
        <w:t xml:space="preserve"> </w:t>
      </w:r>
      <w:r>
        <w:rPr>
          <w:rFonts w:hint="eastAsia" w:ascii="Times New Roman" w:hAnsi="Times New Roman" w:eastAsia="仿宋_GB2312"/>
          <w:sz w:val="22"/>
          <w:szCs w:val="22"/>
        </w:rPr>
        <w:t xml:space="preserve">   </w:t>
      </w:r>
      <w:r>
        <w:rPr>
          <w:rFonts w:ascii="Times New Roman" w:hAnsi="Times New Roman" w:eastAsia="仿宋_GB2312"/>
          <w:sz w:val="22"/>
          <w:szCs w:val="22"/>
        </w:rPr>
        <w:t>联系电话：</w:t>
      </w:r>
      <w:r>
        <w:rPr>
          <w:rFonts w:hint="eastAsia" w:ascii="Times New Roman" w:hAnsi="Times New Roman" w:eastAsia="仿宋_GB2312"/>
          <w:sz w:val="22"/>
          <w:szCs w:val="22"/>
        </w:rPr>
        <w:t>8115337</w:t>
      </w:r>
      <w:r>
        <w:rPr>
          <w:rFonts w:ascii="Times New Roman" w:hAnsi="Times New Roman" w:eastAsia="仿宋_GB2312"/>
          <w:sz w:val="22"/>
          <w:szCs w:val="22"/>
        </w:rPr>
        <w:t xml:space="preserve">    单位负责人签字：</w:t>
      </w:r>
      <w:r>
        <w:rPr>
          <w:rFonts w:hint="eastAsia" w:ascii="Times New Roman" w:hAnsi="Times New Roman" w:eastAsia="仿宋_GB2312"/>
          <w:sz w:val="22"/>
          <w:szCs w:val="22"/>
          <w:lang w:val="en-US" w:eastAsia="zh-CN"/>
        </w:rPr>
        <w:t>党志勤</w:t>
      </w:r>
      <w:r>
        <w:rPr>
          <w:rFonts w:ascii="Times New Roman" w:hAnsi="Times New Roman" w:eastAsia="仿宋_GB2312"/>
          <w:sz w:val="22"/>
          <w:szCs w:val="22"/>
        </w:rPr>
        <w:br w:type="page"/>
      </w: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ascii="Times New Roman" w:hAnsi="Times New Roman" w:eastAsia="仿宋_GB2312"/>
          <w:sz w:val="22"/>
          <w:szCs w:val="22"/>
        </w:rPr>
      </w:pP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ascii="Times New Roman" w:hAnsi="Times New Roman" w:eastAsia="仿宋_GB2312"/>
          <w:sz w:val="22"/>
          <w:szCs w:val="22"/>
        </w:rPr>
      </w:pPr>
    </w:p>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2023年度岳阳市君山区医疗保障事务中心整体支出绩效自评报告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both"/>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2024</w:t>
      </w:r>
      <w:r>
        <w:rPr>
          <w:rFonts w:ascii="Times New Roman" w:hAnsi="Times New Roman" w:eastAsia="楷体_GB2312"/>
          <w:sz w:val="32"/>
          <w:szCs w:val="32"/>
        </w:rPr>
        <w:t xml:space="preserve">年 </w:t>
      </w:r>
      <w:r>
        <w:rPr>
          <w:rFonts w:hint="eastAsia" w:ascii="Times New Roman" w:hAnsi="Times New Roman" w:eastAsia="楷体_GB2312"/>
          <w:sz w:val="32"/>
          <w:szCs w:val="32"/>
        </w:rPr>
        <w:t>6</w:t>
      </w:r>
      <w:r>
        <w:rPr>
          <w:rFonts w:ascii="Times New Roman" w:hAnsi="Times New Roman" w:eastAsia="楷体_GB2312"/>
          <w:sz w:val="32"/>
          <w:szCs w:val="32"/>
        </w:rPr>
        <w:t xml:space="preserve"> 月 </w:t>
      </w:r>
      <w:r>
        <w:rPr>
          <w:rFonts w:hint="eastAsia" w:ascii="Times New Roman" w:hAnsi="Times New Roman" w:eastAsia="楷体_GB2312"/>
          <w:sz w:val="32"/>
          <w:szCs w:val="32"/>
        </w:rPr>
        <w:t>26</w:t>
      </w:r>
      <w:r>
        <w:rPr>
          <w:rFonts w:ascii="Times New Roman" w:hAnsi="Times New Roman" w:eastAsia="楷体_GB2312"/>
          <w:sz w:val="32"/>
          <w:szCs w:val="32"/>
        </w:rPr>
        <w:t xml:space="preserve"> 日</w:t>
      </w:r>
    </w:p>
    <w:p>
      <w:pPr>
        <w:jc w:val="center"/>
        <w:rPr>
          <w:rFonts w:ascii="Times New Roman" w:hAnsi="Times New Roman" w:eastAsia="仿宋_GB2312"/>
          <w:sz w:val="32"/>
          <w:szCs w:val="32"/>
        </w:rPr>
      </w:pPr>
      <w:r>
        <w:rPr>
          <w:rFonts w:ascii="Times New Roman" w:hAnsi="Times New Roman" w:eastAsia="仿宋_GB2312"/>
          <w:sz w:val="32"/>
          <w:szCs w:val="32"/>
        </w:rPr>
        <w:t>（此页为封面）</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2023年度岳阳市君山区医疗保障事务中心整体支出绩效自评报告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一、部门（单位）基本情况</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eastAsia="仿宋_GB2312" w:cs="宋体"/>
          <w:sz w:val="32"/>
          <w:szCs w:val="32"/>
        </w:rPr>
      </w:pPr>
      <w:r>
        <w:rPr>
          <w:rFonts w:hint="eastAsia" w:ascii="仿宋_GB2312" w:eastAsia="仿宋_GB2312" w:cs="宋体"/>
          <w:sz w:val="32"/>
          <w:szCs w:val="32"/>
        </w:rPr>
        <w:t xml:space="preserve"> </w:t>
      </w:r>
      <w:r>
        <w:rPr>
          <w:rFonts w:hint="eastAsia" w:ascii="仿宋_GB2312" w:eastAsia="仿宋_GB2312" w:cs="宋体"/>
          <w:sz w:val="32"/>
          <w:szCs w:val="32"/>
          <w:lang w:val="en-US" w:eastAsia="zh-CN"/>
        </w:rPr>
        <w:t xml:space="preserve">  </w:t>
      </w:r>
      <w:r>
        <w:rPr>
          <w:rFonts w:hint="eastAsia" w:ascii="仿宋_GB2312" w:eastAsia="仿宋_GB2312" w:cs="宋体"/>
          <w:sz w:val="32"/>
          <w:szCs w:val="32"/>
        </w:rPr>
        <w:t xml:space="preserve"> 1</w:t>
      </w:r>
      <w:r>
        <w:rPr>
          <w:rFonts w:hint="eastAsia" w:ascii="仿宋_GB2312" w:eastAsia="仿宋_GB2312" w:cs="宋体"/>
          <w:sz w:val="32"/>
          <w:szCs w:val="32"/>
          <w:lang w:val="en-US" w:eastAsia="zh-CN"/>
        </w:rPr>
        <w:t>.</w:t>
      </w:r>
      <w:r>
        <w:rPr>
          <w:rFonts w:hint="eastAsia" w:ascii="仿宋_GB2312" w:eastAsia="仿宋_GB2312" w:cs="宋体"/>
          <w:sz w:val="32"/>
          <w:szCs w:val="32"/>
        </w:rPr>
        <w:t>负责职责范围内的医疗保障关系建立、中断、转移、接续、终止等经办事务。</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eastAsia="仿宋_GB2312" w:cs="宋体"/>
          <w:sz w:val="32"/>
          <w:szCs w:val="32"/>
        </w:rPr>
      </w:pPr>
      <w:r>
        <w:rPr>
          <w:rFonts w:hint="eastAsia" w:ascii="仿宋_GB2312" w:eastAsia="仿宋_GB2312" w:cs="宋体"/>
          <w:sz w:val="32"/>
          <w:szCs w:val="32"/>
        </w:rPr>
        <w:t xml:space="preserve">    2</w:t>
      </w:r>
      <w:r>
        <w:rPr>
          <w:rFonts w:hint="eastAsia" w:ascii="仿宋_GB2312" w:eastAsia="仿宋_GB2312" w:cs="宋体"/>
          <w:sz w:val="32"/>
          <w:szCs w:val="32"/>
          <w:lang w:val="en-US" w:eastAsia="zh-CN"/>
        </w:rPr>
        <w:t>.</w:t>
      </w:r>
      <w:r>
        <w:rPr>
          <w:rFonts w:hint="eastAsia" w:ascii="仿宋_GB2312" w:eastAsia="仿宋_GB2312" w:cs="宋体"/>
          <w:sz w:val="32"/>
          <w:szCs w:val="32"/>
        </w:rPr>
        <w:t>负责职责范围内的医疗保障基金（费）、离退干部统筹金的管理、运营、结算等经办事务。</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eastAsia="仿宋_GB2312" w:cs="宋体"/>
          <w:sz w:val="32"/>
          <w:szCs w:val="32"/>
        </w:rPr>
      </w:pPr>
      <w:r>
        <w:rPr>
          <w:rFonts w:hint="eastAsia" w:ascii="仿宋_GB2312" w:eastAsia="仿宋_GB2312" w:cs="宋体"/>
          <w:sz w:val="32"/>
          <w:szCs w:val="32"/>
        </w:rPr>
        <w:t xml:space="preserve">    3</w:t>
      </w:r>
      <w:r>
        <w:rPr>
          <w:rFonts w:hint="eastAsia" w:ascii="仿宋_GB2312" w:eastAsia="仿宋_GB2312" w:cs="宋体"/>
          <w:sz w:val="32"/>
          <w:szCs w:val="32"/>
          <w:lang w:val="en-US" w:eastAsia="zh-CN"/>
        </w:rPr>
        <w:t>.</w:t>
      </w:r>
      <w:r>
        <w:rPr>
          <w:rFonts w:hint="eastAsia" w:ascii="仿宋_GB2312" w:eastAsia="仿宋_GB2312" w:cs="宋体"/>
          <w:sz w:val="32"/>
          <w:szCs w:val="32"/>
        </w:rPr>
        <w:t>拟定职责范围内的医疗保障经办事务的操作流程及与流程相关的管理办法。</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eastAsia="仿宋_GB2312" w:cs="宋体"/>
          <w:sz w:val="32"/>
          <w:szCs w:val="32"/>
        </w:rPr>
      </w:pPr>
      <w:r>
        <w:rPr>
          <w:rFonts w:hint="eastAsia" w:ascii="仿宋_GB2312" w:eastAsia="仿宋_GB2312" w:cs="宋体"/>
          <w:sz w:val="32"/>
          <w:szCs w:val="32"/>
        </w:rPr>
        <w:t xml:space="preserve">    4</w:t>
      </w:r>
      <w:r>
        <w:rPr>
          <w:rFonts w:hint="eastAsia" w:ascii="仿宋_GB2312" w:eastAsia="仿宋_GB2312" w:cs="宋体"/>
          <w:sz w:val="32"/>
          <w:szCs w:val="32"/>
          <w:lang w:val="en-US" w:eastAsia="zh-CN"/>
        </w:rPr>
        <w:t>.</w:t>
      </w:r>
      <w:r>
        <w:rPr>
          <w:rFonts w:hint="eastAsia" w:ascii="仿宋_GB2312" w:eastAsia="仿宋_GB2312" w:cs="宋体"/>
          <w:sz w:val="32"/>
          <w:szCs w:val="32"/>
        </w:rPr>
        <w:t>拟定职责范围内的基本医疗保障个人账户管理工作的规范、对账制度及统筹基金的事务管理规范。</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eastAsia="仿宋_GB2312" w:cs="宋体"/>
          <w:sz w:val="32"/>
          <w:szCs w:val="32"/>
        </w:rPr>
      </w:pPr>
      <w:r>
        <w:rPr>
          <w:rFonts w:hint="eastAsia" w:ascii="仿宋_GB2312" w:eastAsia="仿宋_GB2312" w:cs="宋体"/>
          <w:sz w:val="32"/>
          <w:szCs w:val="32"/>
        </w:rPr>
        <w:t xml:space="preserve">    5</w:t>
      </w:r>
      <w:r>
        <w:rPr>
          <w:rFonts w:hint="eastAsia" w:ascii="仿宋_GB2312" w:eastAsia="仿宋_GB2312" w:cs="宋体"/>
          <w:sz w:val="32"/>
          <w:szCs w:val="32"/>
          <w:lang w:val="en-US" w:eastAsia="zh-CN"/>
        </w:rPr>
        <w:t>.</w:t>
      </w:r>
      <w:r>
        <w:rPr>
          <w:rFonts w:hint="eastAsia" w:ascii="仿宋_GB2312" w:eastAsia="仿宋_GB2312" w:cs="宋体"/>
          <w:sz w:val="32"/>
          <w:szCs w:val="32"/>
        </w:rPr>
        <w:t>参与拟定与职责范围内的保障经办事务相关的药品目录、诊疗项目目录、医疗服务设施标准、住院服务标准、康复性治疗目录以及费用结算办法；订立医疗机构、零售药店服务协议并组织实施。</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eastAsia="仿宋_GB2312" w:cs="宋体"/>
          <w:sz w:val="32"/>
          <w:szCs w:val="32"/>
        </w:rPr>
      </w:pPr>
      <w:r>
        <w:rPr>
          <w:rFonts w:hint="eastAsia" w:ascii="仿宋_GB2312" w:eastAsia="仿宋_GB2312" w:cs="宋体"/>
          <w:sz w:val="32"/>
          <w:szCs w:val="32"/>
        </w:rPr>
        <w:t xml:space="preserve">    6</w:t>
      </w:r>
      <w:r>
        <w:rPr>
          <w:rFonts w:hint="eastAsia" w:ascii="仿宋_GB2312" w:eastAsia="仿宋_GB2312" w:cs="宋体"/>
          <w:sz w:val="32"/>
          <w:szCs w:val="32"/>
          <w:lang w:val="en-US" w:eastAsia="zh-CN"/>
        </w:rPr>
        <w:t>.</w:t>
      </w:r>
      <w:r>
        <w:rPr>
          <w:rFonts w:hint="eastAsia" w:ascii="仿宋_GB2312" w:eastAsia="仿宋_GB2312" w:cs="宋体"/>
          <w:sz w:val="32"/>
          <w:szCs w:val="32"/>
        </w:rPr>
        <w:t>负责对职责范围内的保障基金财务报表的汇总编制，定期公布基金收支情况，承担基金内部审计工作。</w:t>
      </w:r>
    </w:p>
    <w:p>
      <w:pPr>
        <w:keepNext w:val="0"/>
        <w:keepLines w:val="0"/>
        <w:pageBreakBefore w:val="0"/>
        <w:widowControl/>
        <w:kinsoku/>
        <w:wordWrap/>
        <w:overflowPunct/>
        <w:topLinePunct w:val="0"/>
        <w:autoSpaceDE/>
        <w:autoSpaceDN/>
        <w:bidi w:val="0"/>
        <w:spacing w:line="560" w:lineRule="exact"/>
        <w:ind w:left="627"/>
        <w:jc w:val="left"/>
        <w:textAlignment w:val="auto"/>
        <w:rPr>
          <w:rFonts w:eastAsia="楷体_GB2312"/>
          <w:b/>
          <w:sz w:val="32"/>
          <w:szCs w:val="32"/>
        </w:rPr>
      </w:pPr>
      <w:r>
        <w:rPr>
          <w:rFonts w:hint="eastAsia" w:ascii="仿宋_GB2312" w:eastAsia="仿宋_GB2312" w:cs="宋体"/>
          <w:sz w:val="32"/>
          <w:szCs w:val="32"/>
        </w:rPr>
        <w:t>7</w:t>
      </w:r>
      <w:r>
        <w:rPr>
          <w:rFonts w:hint="eastAsia" w:ascii="仿宋_GB2312" w:eastAsia="仿宋_GB2312" w:cs="宋体"/>
          <w:sz w:val="32"/>
          <w:szCs w:val="32"/>
          <w:lang w:val="en-US" w:eastAsia="zh-CN"/>
        </w:rPr>
        <w:t>.</w:t>
      </w:r>
      <w:r>
        <w:rPr>
          <w:rFonts w:hint="eastAsia" w:ascii="仿宋_GB2312" w:eastAsia="仿宋_GB2312" w:cs="宋体"/>
          <w:sz w:val="32"/>
          <w:szCs w:val="32"/>
        </w:rPr>
        <w:t>承担区医疗保障局交办的其他事项。</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eastAsia="仿宋_GB2312"/>
          <w:sz w:val="32"/>
          <w:szCs w:val="32"/>
        </w:rPr>
      </w:pPr>
      <w:r>
        <w:rPr>
          <w:rFonts w:hint="eastAsia" w:ascii="仿宋_GB2312" w:eastAsia="仿宋_GB2312"/>
          <w:sz w:val="32"/>
          <w:szCs w:val="32"/>
        </w:rPr>
        <w:t xml:space="preserve">    内设4个股室。具体为：综合办公室、财务室、医疗审核结算和特门室、稽查审计监督室</w:t>
      </w:r>
      <w:r>
        <w:rPr>
          <w:rFonts w:ascii="仿宋_GB2312" w:eastAsia="仿宋_GB2312"/>
          <w:sz w:val="32"/>
          <w:szCs w:val="32"/>
        </w:rPr>
        <w:t>。</w:t>
      </w:r>
    </w:p>
    <w:p>
      <w:pPr>
        <w:pStyle w:val="9"/>
        <w:keepNext w:val="0"/>
        <w:keepLines w:val="0"/>
        <w:pageBreakBefore w:val="0"/>
        <w:widowControl/>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hint="eastAsia" w:ascii="仿宋_GB2312" w:hAnsi="仿宋_GB2312" w:eastAsia="仿宋_GB2312" w:cs="仿宋_GB2312"/>
          <w:color w:val="000000"/>
          <w:sz w:val="32"/>
          <w:szCs w:val="32"/>
          <w:shd w:val="clear" w:color="auto" w:fill="FFFFFF"/>
        </w:rPr>
        <w:t xml:space="preserve"> </w:t>
      </w:r>
      <w:r>
        <w:rPr>
          <w:rFonts w:ascii="Times New Roman" w:hAnsi="Times New Roman" w:eastAsia="黑体"/>
          <w:sz w:val="32"/>
          <w:szCs w:val="32"/>
        </w:rPr>
        <w:t>二、一般公共预算支出情况</w:t>
      </w:r>
    </w:p>
    <w:p>
      <w:pPr>
        <w:pStyle w:val="9"/>
        <w:keepNext w:val="0"/>
        <w:keepLines w:val="0"/>
        <w:pageBreakBefore w:val="0"/>
        <w:widowControl/>
        <w:kinsoku/>
        <w:wordWrap/>
        <w:overflowPunct/>
        <w:topLinePunct w:val="0"/>
        <w:autoSpaceDE/>
        <w:autoSpaceDN/>
        <w:bidi w:val="0"/>
        <w:spacing w:line="560" w:lineRule="exact"/>
        <w:ind w:firstLine="643"/>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jc w:val="both"/>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2023年，单位基本支出决算数为265.46万元，占本年支出的14.85%。主要用于单位在职人员基本工资、津贴补贴等。工资福利支出172.78万元，占基本支出的65.09；办公费、印刷费、水费、电费、电话费、差旅费等商品和服务支出92.68万元，占基本支出的34.91%。</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jc w:val="both"/>
        <w:textAlignment w:val="auto"/>
        <w:rPr>
          <w:rFonts w:ascii="Times New Roman" w:hAnsi="Times New Roman" w:eastAsia="楷体_GB2312"/>
          <w:b/>
          <w:sz w:val="32"/>
          <w:szCs w:val="32"/>
        </w:rPr>
      </w:pPr>
      <w:r>
        <w:rPr>
          <w:rFonts w:hint="eastAsia" w:ascii="Times New Roman" w:hAnsi="Times New Roman" w:eastAsia="仿宋_GB2312"/>
          <w:color w:val="000000"/>
          <w:sz w:val="32"/>
          <w:szCs w:val="32"/>
        </w:rPr>
        <w:t>2023年，单位“三公”经费支出0万元，按具体项目分，因公出国（境）支出0万元，公务用车购置及运行维护费0万元（其中公务用车运行维护费0万元），公务接待费支出0万元。</w:t>
      </w:r>
    </w:p>
    <w:p>
      <w:pPr>
        <w:pStyle w:val="9"/>
        <w:keepNext w:val="0"/>
        <w:keepLines w:val="0"/>
        <w:pageBreakBefore w:val="0"/>
        <w:widowControl/>
        <w:kinsoku/>
        <w:wordWrap/>
        <w:overflowPunct/>
        <w:topLinePunct w:val="0"/>
        <w:autoSpaceDE/>
        <w:autoSpaceDN/>
        <w:bidi w:val="0"/>
        <w:spacing w:line="560" w:lineRule="exact"/>
        <w:ind w:firstLine="643"/>
        <w:textAlignment w:val="auto"/>
        <w:rPr>
          <w:rFonts w:ascii="Times New Roman" w:hAnsi="Times New Roman" w:eastAsia="楷体_GB2312"/>
          <w:b/>
          <w:sz w:val="32"/>
          <w:szCs w:val="32"/>
        </w:rPr>
      </w:pPr>
      <w:r>
        <w:rPr>
          <w:rFonts w:ascii="Times New Roman" w:hAnsi="Times New Roman" w:eastAsia="楷体_GB2312"/>
          <w:b/>
          <w:sz w:val="32"/>
          <w:szCs w:val="32"/>
        </w:rPr>
        <w:t>（二）项目支出情况</w:t>
      </w:r>
    </w:p>
    <w:p>
      <w:pPr>
        <w:pStyle w:val="9"/>
        <w:keepNext w:val="0"/>
        <w:keepLines w:val="0"/>
        <w:pageBreakBefore w:val="0"/>
        <w:widowControl/>
        <w:kinsoku/>
        <w:wordWrap/>
        <w:overflowPunct/>
        <w:topLinePunct w:val="0"/>
        <w:autoSpaceDE/>
        <w:autoSpaceDN/>
        <w:bidi w:val="0"/>
        <w:spacing w:line="560" w:lineRule="exact"/>
        <w:ind w:firstLine="640"/>
        <w:textAlignment w:val="auto"/>
        <w:rPr>
          <w:rFonts w:ascii="Times New Roman" w:hAnsi="Times New Roman" w:eastAsia="楷体_GB2312"/>
          <w:b/>
          <w:sz w:val="32"/>
          <w:szCs w:val="32"/>
        </w:rPr>
      </w:pPr>
      <w:r>
        <w:rPr>
          <w:rFonts w:hint="eastAsia" w:ascii="Times New Roman" w:hAnsi="Times New Roman" w:eastAsia="仿宋_GB2312"/>
          <w:color w:val="000000"/>
          <w:sz w:val="32"/>
          <w:szCs w:val="32"/>
        </w:rPr>
        <w:t>2023年，本单位项目支出决算数为1521.579万元，占本年支出的85.15%。单位项目资金严格按照政策文件开支，厉行节约、量入为出，完善了重大事项集体决策制度，保证项目资金的合理使用。</w:t>
      </w:r>
    </w:p>
    <w:p>
      <w:pPr>
        <w:pStyle w:val="9"/>
        <w:keepNext w:val="0"/>
        <w:keepLines w:val="0"/>
        <w:pageBreakBefore w:val="0"/>
        <w:widowControl/>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三、政府性基金预算支出情况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2023年我单位无政府性基金预算支出。</w:t>
      </w:r>
    </w:p>
    <w:p>
      <w:pPr>
        <w:pStyle w:val="9"/>
        <w:keepNext w:val="0"/>
        <w:keepLines w:val="0"/>
        <w:pageBreakBefore w:val="0"/>
        <w:widowControl/>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四、国有资本经营预算支出情况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2023年我单位无国有资本经营预算支出。</w:t>
      </w:r>
    </w:p>
    <w:p>
      <w:pPr>
        <w:pStyle w:val="9"/>
        <w:keepNext w:val="0"/>
        <w:keepLines w:val="0"/>
        <w:pageBreakBefore w:val="0"/>
        <w:widowControl/>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9"/>
        <w:keepNext w:val="0"/>
        <w:keepLines w:val="0"/>
        <w:pageBreakBefore w:val="0"/>
        <w:widowControl/>
        <w:kinsoku/>
        <w:wordWrap/>
        <w:overflowPunct/>
        <w:topLinePunct w:val="0"/>
        <w:autoSpaceDE/>
        <w:autoSpaceDN/>
        <w:bidi w:val="0"/>
        <w:spacing w:line="560" w:lineRule="exact"/>
        <w:ind w:left="560" w:leftChars="200" w:firstLine="0" w:firstLineChars="0"/>
        <w:textAlignment w:val="auto"/>
        <w:rPr>
          <w:rFonts w:ascii="Times New Roman" w:hAnsi="Times New Roman" w:eastAsia="黑体"/>
          <w:sz w:val="32"/>
          <w:szCs w:val="32"/>
        </w:rPr>
      </w:pPr>
      <w:r>
        <w:rPr>
          <w:rFonts w:hint="eastAsia" w:ascii="Times New Roman" w:hAnsi="Times New Roman" w:eastAsia="仿宋_GB2312"/>
          <w:color w:val="000000"/>
          <w:sz w:val="32"/>
          <w:szCs w:val="32"/>
        </w:rPr>
        <w:t>2023年我单位无社会保险基金预算支出。</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六、部门整体支出绩效情况</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jc w:val="both"/>
        <w:textAlignment w:val="auto"/>
        <w:rPr>
          <w:rFonts w:ascii="Calibri" w:hAnsi="Calibri" w:cs="Calibri"/>
          <w:color w:val="000000"/>
          <w:sz w:val="21"/>
          <w:szCs w:val="21"/>
        </w:rPr>
      </w:pPr>
      <w:r>
        <w:rPr>
          <w:rFonts w:hint="eastAsia" w:ascii="楷体" w:hAnsi="楷体" w:eastAsia="楷体" w:cs="楷体"/>
          <w:color w:val="000000"/>
          <w:sz w:val="32"/>
          <w:szCs w:val="32"/>
          <w:shd w:val="clear" w:color="auto" w:fill="FFFFFF"/>
        </w:rPr>
        <w:t>（</w:t>
      </w:r>
      <w:r>
        <w:rPr>
          <w:rFonts w:ascii="楷体" w:hAnsi="楷体" w:eastAsia="楷体" w:cs="楷体"/>
          <w:color w:val="000000"/>
          <w:sz w:val="32"/>
          <w:szCs w:val="32"/>
          <w:shd w:val="clear" w:color="auto" w:fill="FFFFFF"/>
        </w:rPr>
        <w:t>一）绩效评价目的</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此次绩效评价的目的是：严格落实《预算法》及省、市</w:t>
      </w:r>
      <w:r>
        <w:rPr>
          <w:rFonts w:hint="eastAsia" w:ascii="Times New Roman" w:hAnsi="Times New Roman" w:eastAsia="仿宋_GB2312"/>
          <w:color w:val="000000"/>
          <w:sz w:val="32"/>
          <w:szCs w:val="32"/>
        </w:rPr>
        <w:t>、区</w:t>
      </w:r>
      <w:r>
        <w:rPr>
          <w:rFonts w:ascii="Times New Roman" w:hAnsi="Times New Roman" w:eastAsia="仿宋_GB2312"/>
          <w:color w:val="000000"/>
          <w:sz w:val="32"/>
          <w:szCs w:val="32"/>
        </w:rPr>
        <w:t>绩效管理工作的有关规定，进一步规范财政资金的管理，强化财政支出绩效理念，提升部门责任意识，提高资金使用效益。</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3"/>
        <w:jc w:val="both"/>
        <w:textAlignment w:val="auto"/>
        <w:rPr>
          <w:rFonts w:ascii="Calibri" w:hAnsi="Calibri" w:cs="Calibri"/>
          <w:color w:val="000000"/>
          <w:sz w:val="21"/>
          <w:szCs w:val="21"/>
        </w:rPr>
      </w:pPr>
      <w:r>
        <w:rPr>
          <w:rFonts w:hint="eastAsia" w:ascii="楷体" w:hAnsi="楷体" w:eastAsia="楷体" w:cs="楷体"/>
          <w:color w:val="000000"/>
          <w:sz w:val="32"/>
          <w:szCs w:val="32"/>
          <w:shd w:val="clear" w:color="auto" w:fill="FFFFFF"/>
        </w:rPr>
        <w:t>（二）绩效评价的主要过程</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jc w:val="both"/>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绩效评价的要求，我们成立了自评工作领导小组，对照自评方案进行研究和部署，各股室全程参与，按照自评方案的要求，对照各实施项目的内容逐条逐项自评。在自评过程发现问题，查找原因，及时纠正偏差，为下一步工作夯实基础。通过开展部门整体支出绩效评价，全面了解、分析部门预算，执行并公开、“三公”经费管理、相关政策制度执行、资产管理及部门工作绩效等情况，进一步规范资金管理围绕绩效目标开展工作，加强财务管理，强化支出责任，提高财政资金使用绩效。</w:t>
      </w:r>
    </w:p>
    <w:p>
      <w:pPr>
        <w:pStyle w:val="9"/>
        <w:keepNext w:val="0"/>
        <w:keepLines w:val="0"/>
        <w:pageBreakBefore w:val="0"/>
        <w:widowControl/>
        <w:kinsoku/>
        <w:wordWrap/>
        <w:overflowPunct/>
        <w:topLinePunct w:val="0"/>
        <w:autoSpaceDE/>
        <w:autoSpaceDN/>
        <w:bidi w:val="0"/>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预算绩效管理工作有待加强。虽然单位开展了预算绩效管理工作，但仍存在一些不足：一是绩效目标设立不够细化、量化；二是部门整体支出绩效自评工作不够全面，绩效自评报告质量有待进一步提升。</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八、下一步改进措施</w:t>
      </w:r>
    </w:p>
    <w:p>
      <w:pPr>
        <w:pStyle w:val="5"/>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一是规范绩效目标编制，科学选定绩效指标，合理确定指标标准；二是切实开展绩效评价自评工作，在充分调研和分析的基础上对资金的运用、制度的落实加以评判、分析、研究，通过对资金项目的跟踪与论证，客观的发现项目中存在的问题，并采取有效的措施和方法进行提升和优化，进一步的发挥绩效的作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九、部门整体支出绩效自评结果拟应用和公开情况</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pPr>
      <w:r>
        <w:rPr>
          <w:rFonts w:hint="eastAsia" w:ascii="Times New Roman" w:hAnsi="Times New Roman" w:eastAsia="仿宋_GB2312"/>
          <w:sz w:val="32"/>
          <w:szCs w:val="32"/>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spacing w:line="560" w:lineRule="exact"/>
        <w:ind w:left="640"/>
        <w:textAlignment w:val="auto"/>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pPr>
        <w:keepNext w:val="0"/>
        <w:keepLines w:val="0"/>
        <w:pageBreakBefore w:val="0"/>
        <w:widowControl/>
        <w:kinsoku/>
        <w:wordWrap/>
        <w:overflowPunct/>
        <w:topLinePunct w:val="0"/>
        <w:autoSpaceDE/>
        <w:autoSpaceDN/>
        <w:bidi w:val="0"/>
        <w:spacing w:line="560" w:lineRule="exact"/>
        <w:ind w:left="560" w:leftChars="200"/>
        <w:textAlignment w:val="auto"/>
        <w:rPr>
          <w:rFonts w:ascii="仿宋_GB2312" w:hAnsi="宋体" w:eastAsia="仿宋_GB2312" w:cs="仿宋_GB2312"/>
          <w:color w:val="333333"/>
          <w:sz w:val="32"/>
          <w:szCs w:val="32"/>
          <w:shd w:val="clear" w:color="auto" w:fill="FFFFFF"/>
        </w:rPr>
      </w:pPr>
      <w:r>
        <w:rPr>
          <w:rFonts w:ascii="仿宋_GB2312" w:hAnsi="宋体" w:eastAsia="仿宋_GB2312" w:cs="仿宋_GB2312"/>
          <w:color w:val="333333"/>
          <w:sz w:val="32"/>
          <w:szCs w:val="32"/>
          <w:shd w:val="clear" w:color="auto" w:fill="FFFFFF"/>
        </w:rPr>
        <w:t>暂无其他需要说明的情况。</w:t>
      </w:r>
    </w:p>
    <w:p>
      <w:pPr>
        <w:keepNext w:val="0"/>
        <w:keepLines w:val="0"/>
        <w:pageBreakBefore w:val="0"/>
        <w:widowControl/>
        <w:kinsoku/>
        <w:wordWrap/>
        <w:overflowPunct/>
        <w:topLinePunct w:val="0"/>
        <w:autoSpaceDE/>
        <w:autoSpaceDN/>
        <w:bidi w:val="0"/>
        <w:spacing w:line="560" w:lineRule="exact"/>
        <w:ind w:left="560" w:leftChars="200"/>
        <w:textAlignment w:val="auto"/>
        <w:rPr>
          <w:rFonts w:ascii="仿宋_GB2312" w:hAnsi="宋体" w:eastAsia="仿宋_GB2312" w:cs="仿宋_GB2312"/>
          <w:color w:val="333333"/>
          <w:sz w:val="32"/>
          <w:szCs w:val="32"/>
          <w:shd w:val="clear" w:color="auto" w:fill="FFFFFF"/>
        </w:rPr>
      </w:pP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报告需要以下附件：</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1.部门整体支出绩效评价基础数据表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3.项目支出绩效自评表（一个一级项目支出一张表）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4.政府性基金预算支出情况表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5.国有资本经营预算支出情况表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6.社会保险基金预算支出情况表</w:t>
      </w:r>
    </w:p>
    <w:p>
      <w:pPr>
        <w:widowControl/>
        <w:spacing w:line="640" w:lineRule="exact"/>
        <w:rPr>
          <w:rFonts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附件5</w:t>
      </w:r>
    </w:p>
    <w:p>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pPr>
              <w:spacing w:line="300" w:lineRule="exact"/>
              <w:jc w:val="center"/>
              <w:rPr>
                <w:rFonts w:ascii="Times New Roman" w:hAnsi="Times New Roman" w:eastAsia="仿宋_GB2312"/>
                <w:sz w:val="20"/>
                <w:szCs w:val="20"/>
              </w:rPr>
            </w:pPr>
          </w:p>
          <w:p>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pPr>
              <w:numPr>
                <w:ilvl w:val="0"/>
                <w:numId w:val="1"/>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转移支付项目单位名称和资金情况清单</w:t>
            </w:r>
          </w:p>
          <w:p>
            <w:pPr>
              <w:numPr>
                <w:ilvl w:val="0"/>
                <w:numId w:val="1"/>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rPr>
            </w:pPr>
          </w:p>
          <w:p>
            <w:pPr>
              <w:jc w:val="center"/>
              <w:rPr>
                <w:rFonts w:ascii="Times New Roman" w:hAnsi="Times New Roman" w:eastAsia="仿宋_GB2312"/>
                <w:sz w:val="20"/>
                <w:szCs w:val="20"/>
              </w:rPr>
            </w:pPr>
            <w:r>
              <w:rPr>
                <w:rFonts w:ascii="Times New Roman" w:hAnsi="Times New Roman" w:eastAsia="仿宋_GB2312"/>
                <w:sz w:val="20"/>
                <w:szCs w:val="20"/>
              </w:rPr>
              <w:t>反映问</w:t>
            </w:r>
          </w:p>
          <w:p>
            <w:pPr>
              <w:jc w:val="center"/>
              <w:rPr>
                <w:rFonts w:ascii="Times New Roman" w:hAnsi="Times New Roman" w:eastAsia="仿宋_GB2312"/>
                <w:sz w:val="20"/>
                <w:szCs w:val="20"/>
              </w:rPr>
            </w:pPr>
            <w:r>
              <w:rPr>
                <w:rFonts w:ascii="Times New Roman" w:hAnsi="Times New Roman" w:eastAsia="仿宋_GB2312"/>
                <w:sz w:val="20"/>
                <w:szCs w:val="20"/>
              </w:rPr>
              <w:t>题情况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yOGQyODI3NTAyMDJjYmRjZmFkZWE1NDI5Y2Q4NDIifQ=="/>
  </w:docVars>
  <w:rsids>
    <w:rsidRoot w:val="59886344"/>
    <w:rsid w:val="00042623"/>
    <w:rsid w:val="00081FA9"/>
    <w:rsid w:val="000B0275"/>
    <w:rsid w:val="0021499C"/>
    <w:rsid w:val="002A6879"/>
    <w:rsid w:val="00307245"/>
    <w:rsid w:val="00325018"/>
    <w:rsid w:val="003A241F"/>
    <w:rsid w:val="003F0CC6"/>
    <w:rsid w:val="00412A3A"/>
    <w:rsid w:val="00484402"/>
    <w:rsid w:val="00490A03"/>
    <w:rsid w:val="006C3B79"/>
    <w:rsid w:val="008B6A31"/>
    <w:rsid w:val="008D4633"/>
    <w:rsid w:val="00906FCA"/>
    <w:rsid w:val="00972962"/>
    <w:rsid w:val="009D41E5"/>
    <w:rsid w:val="00A86A63"/>
    <w:rsid w:val="00BD198B"/>
    <w:rsid w:val="00C81E7D"/>
    <w:rsid w:val="00DA3C65"/>
    <w:rsid w:val="00E74CD8"/>
    <w:rsid w:val="00F01AAB"/>
    <w:rsid w:val="00FE58B4"/>
    <w:rsid w:val="044619BD"/>
    <w:rsid w:val="2111009B"/>
    <w:rsid w:val="24725F83"/>
    <w:rsid w:val="4C172CA7"/>
    <w:rsid w:val="59886344"/>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仿宋" w:cs="仿宋"/>
      <w:sz w:val="31"/>
      <w:szCs w:val="31"/>
      <w:lang w:eastAsia="en-US"/>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sz w:val="24"/>
    </w:rPr>
  </w:style>
  <w:style w:type="paragraph" w:customStyle="1" w:styleId="8">
    <w:name w:val="列出段落1"/>
    <w:basedOn w:val="1"/>
    <w:qFormat/>
    <w:uiPriority w:val="34"/>
    <w:pPr>
      <w:ind w:firstLine="420" w:firstLineChars="200"/>
    </w:pPr>
  </w:style>
  <w:style w:type="paragraph" w:styleId="9">
    <w:name w:val="List Paragraph"/>
    <w:basedOn w:val="1"/>
    <w:autoRedefine/>
    <w:qFormat/>
    <w:uiPriority w:val="99"/>
    <w:pPr>
      <w:ind w:firstLine="420" w:firstLineChars="200"/>
    </w:pPr>
    <w:rPr>
      <w:rFonts w:ascii="Calibri" w:hAnsi="Calibri"/>
      <w:szCs w:val="22"/>
    </w:rPr>
  </w:style>
  <w:style w:type="character" w:customStyle="1" w:styleId="10">
    <w:name w:val="页眉 Char"/>
    <w:basedOn w:val="7"/>
    <w:link w:val="4"/>
    <w:autoRedefine/>
    <w:qFormat/>
    <w:uiPriority w:val="0"/>
    <w:rPr>
      <w:rFonts w:ascii="仿宋" w:hAnsi="仿宋" w:eastAsia="宋体" w:cs="Times New Roman"/>
      <w:sz w:val="18"/>
      <w:szCs w:val="18"/>
    </w:rPr>
  </w:style>
  <w:style w:type="character" w:customStyle="1" w:styleId="11">
    <w:name w:val="页脚 Char"/>
    <w:basedOn w:val="7"/>
    <w:link w:val="3"/>
    <w:autoRedefine/>
    <w:qFormat/>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4538</Words>
  <Characters>5045</Characters>
  <Lines>46</Lines>
  <Paragraphs>13</Paragraphs>
  <TotalTime>27</TotalTime>
  <ScaleCrop>false</ScaleCrop>
  <LinksUpToDate>false</LinksUpToDate>
  <CharactersWithSpaces>5556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ZACK</cp:lastModifiedBy>
  <cp:lastPrinted>2024-07-03T07:00:00Z</cp:lastPrinted>
  <dcterms:modified xsi:type="dcterms:W3CDTF">2024-07-09T03:59:54Z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