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附件：1.2023年度部门整体支出绩效评价基础数据表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2.2023年度部门整体支出绩效自评表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3.2023年度项目支出绩效自评表</w:t>
      </w:r>
    </w:p>
    <w:p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4.2023年度市直预算部门整体支出绩效自评报告 （统一参考格式）  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4.51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2.76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2.76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1、医疗救助基金区级配套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450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107.76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100.06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141.08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104.04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99.15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14.64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14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2.13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1.1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1.1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2023年单位完善了内控制度，严格控制经费开支，从电子卖场采购货物、服务等商品和服务，健全“三重一大”制度　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ascii="Times New Roman" w:hAnsi="Times New Roman" w:eastAsia="仿宋_GB2312"/>
          <w:sz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 xml:space="preserve">填表人：  </w:t>
      </w:r>
      <w:r>
        <w:rPr>
          <w:rFonts w:hint="eastAsia" w:ascii="Times New Roman" w:hAnsi="Times New Roman" w:eastAsia="仿宋_GB2312"/>
          <w:sz w:val="22"/>
        </w:rPr>
        <w:t>万琼</w:t>
      </w:r>
      <w:r>
        <w:rPr>
          <w:rFonts w:ascii="Times New Roman" w:hAnsi="Times New Roman" w:eastAsia="仿宋_GB2312"/>
          <w:sz w:val="22"/>
        </w:rPr>
        <w:t xml:space="preserve">   填报日期：  </w:t>
      </w:r>
      <w:r>
        <w:rPr>
          <w:rFonts w:hint="eastAsia" w:ascii="Times New Roman" w:hAnsi="Times New Roman" w:eastAsia="仿宋_GB2312"/>
          <w:sz w:val="22"/>
        </w:rPr>
        <w:t>2024.6.26</w:t>
      </w:r>
      <w:r>
        <w:rPr>
          <w:rFonts w:ascii="Times New Roman" w:hAnsi="Times New Roman" w:eastAsia="仿宋_GB2312"/>
          <w:sz w:val="22"/>
        </w:rPr>
        <w:t xml:space="preserve">    联系电话： </w:t>
      </w:r>
      <w:r>
        <w:rPr>
          <w:rFonts w:hint="eastAsia" w:ascii="Times New Roman" w:hAnsi="Times New Roman" w:eastAsia="仿宋_GB2312"/>
          <w:sz w:val="22"/>
        </w:rPr>
        <w:t>8115337</w:t>
      </w:r>
      <w:r>
        <w:rPr>
          <w:rFonts w:ascii="Times New Roman" w:hAnsi="Times New Roman" w:eastAsia="仿宋_GB2312"/>
          <w:sz w:val="22"/>
        </w:rPr>
        <w:t xml:space="preserve">  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岳阳市君山区医疗保障局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624.58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1787.04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1787.04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按收入性质分：982.53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按支出性质分：982.53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一般公共预算：982.53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其中：基本支出：270.9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项目支出：711.63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按质按量完成区委区政府的各项任务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目标2：落实医保待遇政策，待遇享受率100%。目标3、做好医疗救助和医保扶贫工作，符合条件困难群众救助全覆盖。目标4、医保参保率达到95%以上。目标5、药品、医用耗材集采完成率达90%，医药价格执行度90%。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2023年基本医保参保人员为192491人：其中职工医保13486人，城乡居民医保参保为179005人，参保率95.47%。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困难群众救助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资助参保率100%，救助对象15348人。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等线" w:hAnsi="宋体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eastAsia="等线"/>
                <w:color w:val="000000"/>
                <w:sz w:val="22"/>
                <w:szCs w:val="22"/>
              </w:rPr>
              <w:t>医疗救助对象人次规模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15348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医保参保率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95.47%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药品、医用耗材集采完成率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符合资助参保对象资助参保率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医疗保险待遇支付完成及时率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财政补助资金到位情况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医疗保险问题得到保障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有待加强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监管水平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定性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有限提升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>填表人：</w:t>
      </w:r>
      <w:r>
        <w:rPr>
          <w:rFonts w:hint="eastAsia" w:ascii="Times New Roman" w:hAnsi="Times New Roman" w:eastAsia="仿宋_GB2312"/>
          <w:sz w:val="22"/>
          <w:szCs w:val="22"/>
        </w:rPr>
        <w:t>万琼</w:t>
      </w:r>
      <w:r>
        <w:rPr>
          <w:rFonts w:ascii="Times New Roman" w:hAnsi="Times New Roman" w:eastAsia="仿宋_GB2312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</w:t>
      </w:r>
      <w:r>
        <w:rPr>
          <w:rFonts w:ascii="Times New Roman" w:hAnsi="Times New Roman" w:eastAsia="仿宋_GB2312"/>
          <w:sz w:val="22"/>
          <w:szCs w:val="22"/>
        </w:rPr>
        <w:t xml:space="preserve"> 填报日期：  </w:t>
      </w:r>
      <w:r>
        <w:rPr>
          <w:rFonts w:hint="eastAsia" w:ascii="Times New Roman" w:hAnsi="Times New Roman" w:eastAsia="仿宋_GB2312"/>
          <w:sz w:val="22"/>
          <w:szCs w:val="22"/>
        </w:rPr>
        <w:t>2024.6.26</w:t>
      </w:r>
      <w:r>
        <w:rPr>
          <w:rFonts w:ascii="Times New Roman" w:hAnsi="Times New Roman" w:eastAsia="仿宋_GB2312"/>
          <w:sz w:val="22"/>
          <w:szCs w:val="22"/>
        </w:rPr>
        <w:t xml:space="preserve">     联系电话：</w:t>
      </w:r>
      <w:r>
        <w:rPr>
          <w:rFonts w:hint="eastAsia" w:ascii="Times New Roman" w:hAnsi="Times New Roman" w:eastAsia="仿宋_GB2312"/>
          <w:sz w:val="22"/>
          <w:szCs w:val="22"/>
        </w:rPr>
        <w:t>8115337</w:t>
      </w:r>
      <w:r>
        <w:rPr>
          <w:rFonts w:ascii="Times New Roman" w:hAnsi="Times New Roman" w:eastAsia="仿宋_GB2312"/>
          <w:sz w:val="22"/>
          <w:szCs w:val="22"/>
        </w:rPr>
        <w:t xml:space="preserve">    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2023年度项目支出绩效自评表</w:t>
      </w:r>
    </w:p>
    <w:tbl>
      <w:tblPr>
        <w:tblStyle w:val="6"/>
        <w:tblpPr w:leftFromText="180" w:rightFromText="180" w:vertAnchor="text" w:horzAnchor="page" w:tblpX="1230" w:tblpY="455"/>
        <w:tblOverlap w:val="never"/>
        <w:tblW w:w="98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283"/>
        <w:gridCol w:w="1283"/>
        <w:gridCol w:w="1016"/>
        <w:gridCol w:w="975"/>
        <w:gridCol w:w="961"/>
        <w:gridCol w:w="516"/>
        <w:gridCol w:w="630"/>
        <w:gridCol w:w="2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项目支</w:t>
            </w:r>
          </w:p>
        </w:tc>
        <w:tc>
          <w:tcPr>
            <w:tcW w:w="889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医疗救助补助资金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94" w:type="dxa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岳阳市君山区医疗保障局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岳阳市君山区医疗保障局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项目资金</w:t>
            </w:r>
          </w:p>
        </w:tc>
        <w:tc>
          <w:tcPr>
            <w:tcW w:w="2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年初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2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5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执行数</w:t>
            </w: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711.63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711.63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711.63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711.63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目标1：将符合条件的困难群众纳入救助对象范围。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目标2：按医疗救助政策规定实施参保资助、门诊医疗救助、住院医疗救助和再救助。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目标3：充分发挥医疗救助托底保障功能，有效防范群众因病返贫致贫。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具体情况见下表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实际</w:t>
            </w:r>
          </w:p>
        </w:tc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绩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效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指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产出指标(50分)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医疗救助对象人次规模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≥12500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15348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重点救助对象政策范围内个人自付费用年度限额内住院救助比例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≥70%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86.20%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符合资助条件的农村低收入人口资助参保政策覆盖率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≥99%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全覆盖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医保综合监管能力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逐步提高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逐步提高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重点救助对象住院基本医保目录外费用占比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≤10%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1.09%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市域内“一站式”即时结算定点医疗机构覆盖率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不低于上年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全覆盖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效益指标（30分）</w:t>
            </w: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医疗救助对象覆盖范围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稳步拓展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稳步拓展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城乡医疗救助政策知晓率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困难群众看病就医方便程度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明显提高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明显提高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困难群众医疗费用负担减轻程度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有效缓解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有效缓解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对健全社会救助体系的影响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成效明显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成效明显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对健全医疗保障体系的作用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成效明显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成效明显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满意度指标（10分）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救助对象对救助工作满意度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rPr>
          <w:rFonts w:ascii="Times New Roman" w:hAnsi="Times New Roman" w:eastAsia="仿宋_GB2312"/>
          <w:sz w:val="18"/>
          <w:szCs w:val="18"/>
        </w:rPr>
      </w:pPr>
    </w:p>
    <w:p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>
      <w:pPr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</w:t>
      </w:r>
      <w:r>
        <w:rPr>
          <w:rFonts w:hint="eastAsia" w:ascii="Times New Roman" w:hAnsi="Times New Roman" w:eastAsia="仿宋_GB2312"/>
          <w:sz w:val="22"/>
          <w:szCs w:val="22"/>
        </w:rPr>
        <w:t>刘坚</w:t>
      </w:r>
      <w:r>
        <w:rPr>
          <w:rFonts w:ascii="Times New Roman" w:hAnsi="Times New Roman" w:eastAsia="仿宋_GB2312"/>
          <w:sz w:val="22"/>
          <w:szCs w:val="22"/>
        </w:rPr>
        <w:t xml:space="preserve">   填报日期： </w:t>
      </w:r>
      <w:r>
        <w:rPr>
          <w:rFonts w:hint="eastAsia" w:ascii="Times New Roman" w:hAnsi="Times New Roman" w:eastAsia="仿宋_GB2312"/>
          <w:sz w:val="22"/>
          <w:szCs w:val="22"/>
        </w:rPr>
        <w:t>2024.6.26</w:t>
      </w:r>
      <w:r>
        <w:rPr>
          <w:rFonts w:ascii="Times New Roman" w:hAnsi="Times New Roman" w:eastAsia="仿宋_GB2312"/>
          <w:sz w:val="22"/>
          <w:szCs w:val="22"/>
        </w:rPr>
        <w:t xml:space="preserve">   联系电话：</w:t>
      </w:r>
      <w:r>
        <w:rPr>
          <w:rFonts w:hint="eastAsia" w:ascii="Times New Roman" w:hAnsi="Times New Roman" w:eastAsia="仿宋_GB2312"/>
          <w:sz w:val="22"/>
          <w:szCs w:val="22"/>
        </w:rPr>
        <w:t>8115337</w:t>
      </w:r>
      <w:r>
        <w:rPr>
          <w:rFonts w:ascii="Times New Roman" w:hAnsi="Times New Roman" w:eastAsia="仿宋_GB2312"/>
          <w:sz w:val="22"/>
          <w:szCs w:val="22"/>
        </w:rPr>
        <w:t xml:space="preserve">    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ascii="Times New Roman" w:hAnsi="Times New Roman" w:eastAsia="仿宋_GB2312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ascii="Times New Roman" w:hAnsi="Times New Roman" w:eastAsia="仿宋_GB2312"/>
          <w:sz w:val="22"/>
          <w:szCs w:val="2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2023年度岳阳市君山区医疗保障局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/>
          <w:sz w:val="32"/>
          <w:szCs w:val="32"/>
        </w:rPr>
        <w:t>26</w:t>
      </w:r>
      <w:r>
        <w:rPr>
          <w:rFonts w:ascii="Times New Roman" w:hAnsi="Times New Roman" w:eastAsia="楷体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2023年度岳阳市医疗保障局整体支出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拟订全区社会医疗保险、生育保险、医疗救助等医疗保障发展规范、标准并组织实施。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贯彻执行国家医疗保障基金监督管理办法，落实全市具体实施办法，建立健全全区医疗保障基金安全防控机制，推进全区医疗保障基金支付方式改革。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贯彻执行市医疗保障筹资和待遇政策，执行市城镇职工和城乡居民医疗保障待遇标准，建立健全与筹资水平相适应的待遇调整机制。组织实施全区长期护理保险制度改革。落实离休干部医疗保障待遇政策。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落实全市城乡统一的药品、医用耗材、医疗服务项目、医疗服务设施等医保目录和支付标准。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国家药品、医用耗材、医疗服务项目、医疗服务设施收费等政策，落实市医保支付医药服务价格合理确定和动态调整机制，推动建立市场主导的社会医药服务价格形成机制，执行价格信息监测和信息发布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贯彻执行国家和省、市药品、医用耗材的招标采购政策，指导和监管药品、医用耗材招标采购平台的应用。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贯彻执行市有关协议医药机构协议和支付管理办法，执行湖南省医疗保障信用评价体系和信息披露制度，监督管理纳入医保范围的医疗服务行为和医疗费用，依法查处医疗保障领域违法违规行为。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负责全区医疗保障经办管理工作和公共服务体系和信息化建设。落实市医疗保险、生育保险、特殊人群医疗保障、公务员补充医疗保险、企事业单位补充医疗保险、大病医疗互助、大病保险、医疗救助等医疗保障经办业务工作。组织制定和完善异地就医管理和费用结算政策，执行省、市医疗保障关系转移接续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贯彻执行国家和省、市城乡医疗救助和医保扶贫政策，负责全区医疗救助和医保扶贫政策的制定、监督、实施工作。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完成上级交办的其他任务。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内设科室分别是: 办公室、待遇保障和医药服务管理股、医药价格和招标采购股、基金监管股、规划财务和法规股。</w:t>
      </w:r>
      <w:r>
        <w:rPr>
          <w:rFonts w:eastAsia="仿宋_GB2312"/>
          <w:sz w:val="32"/>
          <w:szCs w:val="32"/>
        </w:rPr>
        <w:t>所属事业单位是</w:t>
      </w:r>
      <w:r>
        <w:rPr>
          <w:rFonts w:hint="eastAsia" w:eastAsia="仿宋_GB2312"/>
          <w:sz w:val="32"/>
          <w:szCs w:val="32"/>
        </w:rPr>
        <w:t>：岳阳市君山区医疗保障事务中心。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，单位基本支出决算数为270.9万元，占本年支出的27.05%。主要用于单位在职人员基本工资、津贴补贴等。工资福利支出159.85万元，占基本支出的59%；办公费、印刷费、水费、电费、电话费、差旅费等商品和服务支出111.05万元，占基本支出的41%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2023年，单位“三公”经费支出1.32万元，按具体项目分，因公出国（境）支出0万元，公务用车购置及运行维护费0万元（其中公务用车运行维护费0万元），公务接待费支出1.32万元。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2023年，本单位项目支出决算数为1146.99万元，占本年支出的72.95%。单位项目资金严格按照政策文件开支，厉行节约、量入为出，完善了重大事项集体决策制度，保证项目资金的合理使用。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2023年我单位无政府性基金预算支出。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2023年我单位无国有资本经营预算支出。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200" w:firstLine="0" w:firstLineChars="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2023年我单位无社会保险基金预算支出。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（</w:t>
      </w:r>
      <w:r>
        <w:rPr>
          <w:rFonts w:ascii="楷体" w:hAnsi="楷体" w:eastAsia="楷体" w:cs="楷体"/>
          <w:color w:val="000000"/>
          <w:sz w:val="32"/>
          <w:szCs w:val="32"/>
          <w:shd w:val="clear" w:color="auto" w:fill="FFFFFF"/>
        </w:rPr>
        <w:t>一）绩效评价目的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此次绩效评价的目的是：严格落实《预算法》及省、市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、区</w:t>
      </w:r>
      <w:r>
        <w:rPr>
          <w:rFonts w:ascii="Times New Roman" w:hAnsi="Times New Roman" w:eastAsia="仿宋_GB2312"/>
          <w:color w:val="000000"/>
          <w:sz w:val="32"/>
          <w:szCs w:val="32"/>
        </w:rPr>
        <w:t>绩效管理工作的有关规定，进一步规范财政资金的管理，强化财政支出绩效理念，提升部门责任意识，提高资金使用效益。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shd w:val="clear" w:color="auto" w:fill="FFFFFF"/>
        </w:rPr>
        <w:t>（二）绩效评价的主要过程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展工作，加强财务管理，强化支出责任，提高财政资金使用绩效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预算绩效管理工作有待加强。虽然单位开展了预算绩效管理工作，但仍存在一些不足：一是绩效目标设立不够细化、量化；二是部门整体支出绩效自评工作不够全面，绩效自评报告质量有待进一步提升。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在的问题，并采取有效的措施和方法进行提升和优化，进一步的发挥绩效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十、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200"/>
        <w:textAlignment w:val="auto"/>
        <w:rPr>
          <w:rFonts w:ascii="仿宋_GB2312" w:hAnsi="宋体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333333"/>
          <w:sz w:val="32"/>
          <w:szCs w:val="32"/>
          <w:shd w:val="clear" w:color="auto" w:fill="FFFFFF"/>
        </w:rPr>
        <w:t>暂无其他需要说明的情况。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6.社会保险基金预算支出情况表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0OTFhMzk3NTVlMzY0NTE2MTEzMWFhNjk5NmQyYmIifQ=="/>
  </w:docVars>
  <w:rsids>
    <w:rsidRoot w:val="59886344"/>
    <w:rsid w:val="00025C49"/>
    <w:rsid w:val="001960D6"/>
    <w:rsid w:val="001E1587"/>
    <w:rsid w:val="002111A9"/>
    <w:rsid w:val="0025681F"/>
    <w:rsid w:val="00286AB9"/>
    <w:rsid w:val="002D392E"/>
    <w:rsid w:val="004C5490"/>
    <w:rsid w:val="005C4F94"/>
    <w:rsid w:val="00695236"/>
    <w:rsid w:val="00715C02"/>
    <w:rsid w:val="007D7283"/>
    <w:rsid w:val="008877DB"/>
    <w:rsid w:val="009036B6"/>
    <w:rsid w:val="009566A9"/>
    <w:rsid w:val="009D11B3"/>
    <w:rsid w:val="00A76BE0"/>
    <w:rsid w:val="00AD2842"/>
    <w:rsid w:val="00BE3ADB"/>
    <w:rsid w:val="00BF5AD3"/>
    <w:rsid w:val="00CB6617"/>
    <w:rsid w:val="00CC1784"/>
    <w:rsid w:val="00D372CB"/>
    <w:rsid w:val="00D4463E"/>
    <w:rsid w:val="00D73C3D"/>
    <w:rsid w:val="00DB6B34"/>
    <w:rsid w:val="00DD7536"/>
    <w:rsid w:val="00E9674C"/>
    <w:rsid w:val="00EC2AEF"/>
    <w:rsid w:val="00EE26D0"/>
    <w:rsid w:val="00F06CCF"/>
    <w:rsid w:val="00F42E36"/>
    <w:rsid w:val="00FC0E56"/>
    <w:rsid w:val="00FE71B7"/>
    <w:rsid w:val="05631D2D"/>
    <w:rsid w:val="45DD4D79"/>
    <w:rsid w:val="59886344"/>
    <w:rsid w:val="DFEF8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7"/>
    <w:link w:val="4"/>
    <w:autoRedefine/>
    <w:uiPriority w:val="0"/>
    <w:rPr>
      <w:rFonts w:ascii="仿宋" w:hAnsi="仿宋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仿宋" w:hAnsi="仿宋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1004</Words>
  <Characters>5724</Characters>
  <Lines>47</Lines>
  <Paragraphs>13</Paragraphs>
  <TotalTime>6</TotalTime>
  <ScaleCrop>false</ScaleCrop>
  <LinksUpToDate>false</LinksUpToDate>
  <CharactersWithSpaces>6715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逐世</cp:lastModifiedBy>
  <cp:lastPrinted>2024-07-01T01:57:21Z</cp:lastPrinted>
  <dcterms:modified xsi:type="dcterms:W3CDTF">2024-07-01T01:58:20Z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6182D3A10D564617983F46DEE354AEAF</vt:lpwstr>
  </property>
</Properties>
</file>