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5EB1B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5EB1B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5EB1B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5EB1B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1.76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1.76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0.55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24.78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67.35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50.85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CDEDF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dotted" w:color="auto" w:sz="4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CDEDF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3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年单位完善了内控制度，严格控制经费开支，从电子卖场采购货物、服务等商品和服务，健全“三重一大”制度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岳阳市君山区退役军人服务中心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249.48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249.48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232.67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93.26%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249.48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任务1：推进退役军人社保接续工作；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任务2：开展退役军人信息采集工作；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任务3：开展退役军人走访帮扶工作；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任务4：开展退役军人帮扶就业工作；</w:t>
            </w:r>
          </w:p>
          <w:p>
            <w:pPr>
              <w:widowControl/>
              <w:spacing w:line="240" w:lineRule="exact"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任务5：上级部门交办的其他工作。</w:t>
            </w: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  <w:t>　一、认真完成社保接续、建档立卡等服务保障工作，服务保障能力得到提升。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  <w:t>二、全力做好退役军人信访接待工作，畅通信访渠道，建立了信访接待台账。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  <w:t>三、加强思想政治建设，“尊崇”氛围更浓厚。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  <w:t>四、创新开展退役军人志愿服务。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  <w:t>五、落实军休干部政治、生活待遇。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各项退役军人工作的服务人数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有所增加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服务退役军人的人数有所增加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退役军人信访维稳工作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做好信访维稳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做好日常接入工作，畅通信访渠道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各项服务工作效率和质量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得到提升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服务效率和服务质量有所提升，攻坚建档立卡，落实社保接续，化解信访矛盾，落实军休干部两个待遇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信访工作质量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做好来访接待工作，服务耐心细致，信访工作质量明显提升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资金使用时间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年底前发放到位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每月按时发放军休干部生活补助，各项资金在年底前发放到位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建档立卡、社保接续等工作的开展开支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仿宋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不超过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预算数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各项资金管理规范，无违规使用资金现象，厉行节约，工作开支不超过预算数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各类设备更新升级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有序进行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在预算内合理安排资金，逐步落实设备更新升级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提升退役军人社会尊崇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有所提升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维护涉军群体稳定，保障退役军人合法权益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对生态环境可能造成的负面影响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无负面影响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开源节流，节能减排，对生态环境无负面影响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提升退役军人服务保障水平，维护涉军群体稳定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有所提升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退役军人服务保障水平有所提升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退役军人满意度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绝大部分人满意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退役军人服务中心专项工作经费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岳阳市君山区退役军人事务局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岳阳市君山区退役军人服务中心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B9BD5" w:themeColor="accen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accent1"/>
                  </w14:solidFill>
                </w14:textFill>
              </w:rPr>
              <w:t>1、设备采购升级、入户确认核查、会务、人员培训、开展软硬件配置升级。2、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5B9BD5" w:themeColor="accen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accent1"/>
                  </w14:solidFill>
                </w14:textFill>
              </w:rPr>
              <w:t>做好退役士兵养老保险及医疗保险补缴工作　</w:t>
            </w: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5B9BD5" w:themeColor="accent1"/>
                <w:sz w:val="20"/>
                <w:szCs w:val="20"/>
                <w:highlight w:val="none"/>
                <w14:textFill>
                  <w14:solidFill>
                    <w14:schemeClr w14:val="accent1"/>
                  </w14:solidFill>
                </w14:textFill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B9BD5" w:themeColor="accen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accent1"/>
                  </w14:solidFill>
                </w14:textFill>
              </w:rPr>
              <w:t>切实提升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5B9BD5" w:themeColor="accen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accent1"/>
                  </w14:solidFill>
                </w14:textFill>
              </w:rPr>
              <w:t>退役军人服务保障的业务能力；认真完成审档、补缴等工作，202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5B9BD5" w:themeColor="accent1"/>
                <w:spacing w:val="0"/>
                <w:sz w:val="20"/>
                <w:szCs w:val="20"/>
                <w:shd w:val="clear" w:fill="FFFFFF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5B9BD5" w:themeColor="accent1"/>
                <w:spacing w:val="0"/>
                <w:sz w:val="20"/>
                <w:szCs w:val="20"/>
                <w:shd w:val="clear" w:fill="FFFFFF"/>
                <w14:textFill>
                  <w14:solidFill>
                    <w14:schemeClr w14:val="accent1"/>
                  </w14:solidFill>
                </w14:textFill>
              </w:rPr>
              <w:t>年对符合医保补缴条件的退役士兵进行摸排统计，为退役士兵办理医保补缴；对前来办理业务的退役军人及家属，做到了有问必答、有疑必释、有困难上门，保持与各有关部门的对接，帮助退役军人解决实际问题，服务质量得到明显提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建档立卡、社保接续等工作的服务人数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100人次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全年服务对象超过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100人次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各项服务工作效率和质量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有所提升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对退役军人做到有问必答、有疑必释、有困难上门，帮助解决实际问题，服务质量得到明显提升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3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年底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年底前发放到位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各项资金管理规范，202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年年底前完成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信访维稳各项工作开支，控制在预算内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仿宋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不超过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预算数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合理规范使用资金，厉行节约，各项开支未超过预算数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保障退役军人待遇与经济社会发展水平相适应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维护退役军人权益，促进经济增长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充分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盘活现有资源，合理使用资金，维护退役军人合法权益，对经济增长起积极作用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维护稳定，提升退役军人社会尊崇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协助信访事项攻坚化解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化解信访矛盾纠纷，尽心尽力为退役军人排忧解难，维护退役军人合法权益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对生态环境可能造成的负面影响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仿宋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无负面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节能减排，对生态环境无负面影响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维护广大退役军人合法权益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有所提升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畅通沟通渠道，化解信访矛盾，息访罢访效果显著，提升退役军人社会尊崇，令军人成为社会尊崇的职业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受益对象满意度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≥95%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岳阳市君山区退役军人服务中心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岳阳市君山区退役军人服务中心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947" w:firstLineChars="296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负责全区退役军人相关事务工作，就业创业，优抚帮扶、困难救助、权益保障、数据信息采集、职业教育和其他技能培训、信访维稳、政策宣传、走访慰问。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947" w:firstLineChars="296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岳阳市君山区退役军人服务中心内设1个职能股室：综合办公室；核定全额拨款事业编制5名。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一般公共预算支出情况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2023年度，单位支出决算数为232.67万元，其中基本支出为124.66万元，占本年支出的53.58%；项目支出为108.01万元，占本年支出的46.42%，具体如下：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单位基本支出决算数为124.66万元，占本年支出的53.58%。主要用于单位在职人员基本工资、津贴补贴等。工资福利支出38.32万元，占基本支出的30.74%；办公费、印刷费、水费、电费、电话费、差旅费等商品和服务支出67.35万元，占基本支出的54.03%；其他基本支出18.99万元，占基本支出的15.23%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2023年，单位“三公”经费支出0.55万元，按具体项目分，因公出国（境）支出0万元，公务用车购置及运行维护费0万元（其中公务用车运行维护费0万元），公务接待费支出0.55万元。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2023年，本单位项目支出决算数为108.01万元，占本年支出的46.42%。单位项目资金严格按照政策文件开支，厉行节约、量入为出，完善了重大事项集体决策制度，保证项目资金的合理使用。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2023年我单位无政府性基金预算支出。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2023年我单位无国有资本经营预算支出。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2023年我单位无社会保险基金预算支出。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根据《关于开展2023年度财政支出绩效自评工作的通知》（岳君财函〔2024〕255号）要求，我单位积极开展2023年度一般公共预算支出（含基本支出和项目支出）的绩效自评工作，整体支出绩效情况如下：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1.服务保障工作稳步推进，促进服务保障工作提质增效；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2.信访接待用心用情用力，畅通退役军人信访接待渠道；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3.不断加强思想政治建设，推动尊军崇军氛围更加浓厚；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4.创新退役军人志愿服务，为发展贡献退役军人力量；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5.保障军休干部两个待遇，获得感、幸福感不断增强。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1.预算资金安排与实际使用存在差距。年初预算数据缺乏精准，难以完全满足实际工作开展的需要，预算编制的科学性、准确性有待提高。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2.内部控制制度不够健全。因单位合并，相应的预算管理制度、资产管理制度等内部控制制度还需结合实际进一步完善。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1.加强财务与各业务部门的协作，细化预算编制工作，提高预算管理；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2.健全单位内部控制制度，严格财务审核；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3.建立科学的绩效评价体系，定期开展绩效自评，分析原因，提出改进建议。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将自评结果作为下年预算编制及执行的重要参考，绩效自评报告依规定公开，接受社会监督。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暂无其他需要说明的情况。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B800A"/>
    <w:multiLevelType w:val="singleLevel"/>
    <w:tmpl w:val="8E7B8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54C1B6"/>
    <w:multiLevelType w:val="singleLevel"/>
    <w:tmpl w:val="9A54C1B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0E2E415"/>
    <w:multiLevelType w:val="singleLevel"/>
    <w:tmpl w:val="10E2E4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59886344"/>
    <w:rsid w:val="01A000A7"/>
    <w:rsid w:val="01D03287"/>
    <w:rsid w:val="04813B88"/>
    <w:rsid w:val="0F960C77"/>
    <w:rsid w:val="10252A40"/>
    <w:rsid w:val="1B06223F"/>
    <w:rsid w:val="1CA24270"/>
    <w:rsid w:val="1D401B7E"/>
    <w:rsid w:val="20F860EA"/>
    <w:rsid w:val="22687962"/>
    <w:rsid w:val="246D3214"/>
    <w:rsid w:val="250550E5"/>
    <w:rsid w:val="268D2973"/>
    <w:rsid w:val="270B2755"/>
    <w:rsid w:val="277A29E1"/>
    <w:rsid w:val="2BCB72BD"/>
    <w:rsid w:val="2D4F13CC"/>
    <w:rsid w:val="2E5970F9"/>
    <w:rsid w:val="34A81694"/>
    <w:rsid w:val="44681D5F"/>
    <w:rsid w:val="451B2245"/>
    <w:rsid w:val="4BA967EE"/>
    <w:rsid w:val="4D853336"/>
    <w:rsid w:val="52BF7119"/>
    <w:rsid w:val="55546051"/>
    <w:rsid w:val="575A41F7"/>
    <w:rsid w:val="59886344"/>
    <w:rsid w:val="5D865BF8"/>
    <w:rsid w:val="5E3A0047"/>
    <w:rsid w:val="5E7C6F13"/>
    <w:rsid w:val="617D2419"/>
    <w:rsid w:val="63536E26"/>
    <w:rsid w:val="63B15515"/>
    <w:rsid w:val="6BC7234E"/>
    <w:rsid w:val="6DCF03CB"/>
    <w:rsid w:val="6FAA5C3A"/>
    <w:rsid w:val="72874010"/>
    <w:rsid w:val="78301AF2"/>
    <w:rsid w:val="78BB6390"/>
    <w:rsid w:val="7AC13991"/>
    <w:rsid w:val="7CF45C45"/>
    <w:rsid w:val="7D1A4BD0"/>
    <w:rsid w:val="7DCA7C63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4713</Words>
  <Characters>5096</Characters>
  <Lines>0</Lines>
  <Paragraphs>0</Paragraphs>
  <TotalTime>10</TotalTime>
  <ScaleCrop>false</ScaleCrop>
  <LinksUpToDate>false</LinksUpToDate>
  <CharactersWithSpaces>5625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口天wu</cp:lastModifiedBy>
  <dcterms:modified xsi:type="dcterms:W3CDTF">2024-07-12T03:19:23Z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6182D3A10D564617983F46DEE354AEAF</vt:lpwstr>
  </property>
</Properties>
</file>