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1.97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283.46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423.5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306.23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、社保基金督查专项经费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224.47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305.36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305.36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31.06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34.5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19.6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26.5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257.3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391.83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岳阳市君山区人力资源和社会保障局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741.21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1294.52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1294.52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1294.52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988.3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306.22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贯彻落实社会保险有关政策和法律法规，负责全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各类社会保障、就业及人才管理的业务办理、基金运行及管理工作。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完成20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各类社会保障、就业及人才管理的业务办理、基金运行及管理工作。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城镇登记失业率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%以内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5.4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%以内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工伤保险新开工工程建设项目参保率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失业人员再就业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城镇新增就业人数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2910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养老保险待遇发放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按时足额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发放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按时足额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发放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工资集体协商建制率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社会保险补贴发放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按政策按时补贴到位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按政策按时补贴到位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公益性岗位补贴人均标准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0元/人/月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0元/人/月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政策宣传及执行率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年满60周岁并符合待遇领取人员终生保障率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参保人员满意度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达95%以上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95%以上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社保基金督查专项经费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加强综合监管、行政监管，健全专项检查、交叉检查、飞行检查制度，开展多方面多形式的联合检查，形成监管合力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健全了各项检查制度，开展了联合检查，并开展了社保基金安全法治教育，引导人民群众积极参与社保基金监督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人社协理员培训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按计划执行培训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已进行培训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社保基金安全完整率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保证社保基金安全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保证安全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对各经办机构社保基金进行审计评价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开展第三方审计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已进行第三方审计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间接推动经济发展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有效加强全民参保计划，实现社会保险全覆盖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做好宣传，对社会保险参保扩面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进行宣传，提高了参保扩面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提升防范和化解社保基金风险隐患能力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保障失业人员基本生活，维护社会稳定，促进社会和谐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姚鑫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2024.6.26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8115182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岳阳市君山区人力资源和社会保障局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  <w:u w:val="none"/>
        </w:rPr>
      </w:pPr>
      <w:r>
        <w:rPr>
          <w:rFonts w:hint="eastAsia" w:eastAsia="仿宋_GB2312"/>
          <w:color w:val="auto"/>
          <w:sz w:val="32"/>
          <w:szCs w:val="32"/>
          <w:u w:val="none"/>
        </w:rPr>
        <w:t>主要负责贯彻执行国家人力资源和社会保障法规和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政</w:t>
      </w:r>
      <w:r>
        <w:rPr>
          <w:rFonts w:hint="eastAsia" w:eastAsia="仿宋_GB2312"/>
          <w:color w:val="auto"/>
          <w:sz w:val="32"/>
          <w:szCs w:val="32"/>
          <w:u w:val="none"/>
        </w:rPr>
        <w:t>策，对全区人力资源和社会保障工作进行综合管理、监督指导和协调服务；负责全区事业单位人事管理；完善公共就业服务体系，抓好就业培训与就业援助，促进就业再就业；建立覆盖城乡的社会保障体系，负责全区社会保险基金的发放和管理；负责劳动保障监察和劳动人事争议仲裁，维护劳资双方合法权益；做好社会维稳工作；承办区委、区政府交办的工作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岳阳市君山区人力资源和社会保障局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内设机构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个，事业单位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内设机构包括：</w:t>
      </w:r>
      <w:r>
        <w:rPr>
          <w:rFonts w:hint="eastAsia" w:eastAsia="仿宋_GB2312"/>
          <w:color w:val="auto"/>
          <w:sz w:val="32"/>
          <w:szCs w:val="32"/>
          <w:u w:val="none"/>
        </w:rPr>
        <w:t>办公室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（政工人事股、行政审批股）</w:t>
      </w:r>
      <w:r>
        <w:rPr>
          <w:rFonts w:hint="eastAsia" w:eastAsia="仿宋_GB2312"/>
          <w:color w:val="auto"/>
          <w:sz w:val="32"/>
          <w:szCs w:val="32"/>
          <w:u w:val="none"/>
        </w:rPr>
        <w:t>、社会保险综合股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（信访维稳办公室）</w:t>
      </w:r>
      <w:r>
        <w:rPr>
          <w:rFonts w:hint="eastAsia" w:eastAsia="仿宋_GB2312"/>
          <w:color w:val="auto"/>
          <w:sz w:val="32"/>
          <w:szCs w:val="32"/>
          <w:u w:val="none"/>
        </w:rPr>
        <w:t>、就业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创业</w:t>
      </w:r>
      <w:r>
        <w:rPr>
          <w:rFonts w:hint="eastAsia" w:eastAsia="仿宋_GB2312"/>
          <w:color w:val="auto"/>
          <w:sz w:val="32"/>
          <w:szCs w:val="32"/>
          <w:u w:val="none"/>
        </w:rPr>
        <w:t>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失业保险</w:t>
      </w:r>
      <w:r>
        <w:rPr>
          <w:rFonts w:hint="eastAsia" w:eastAsia="仿宋_GB2312"/>
          <w:color w:val="auto"/>
          <w:sz w:val="32"/>
          <w:szCs w:val="32"/>
          <w:u w:val="none"/>
        </w:rPr>
        <w:t>股、基金监督股、事业单位管理股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（专技职称股）</w:t>
      </w:r>
      <w:r>
        <w:rPr>
          <w:rFonts w:hint="eastAsia" w:eastAsia="仿宋_GB2312"/>
          <w:color w:val="auto"/>
          <w:sz w:val="32"/>
          <w:szCs w:val="32"/>
          <w:u w:val="none"/>
        </w:rPr>
        <w:t>、工资福利和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考核奖惩</w:t>
      </w:r>
      <w:r>
        <w:rPr>
          <w:rFonts w:hint="eastAsia" w:eastAsia="仿宋_GB2312"/>
          <w:color w:val="auto"/>
          <w:sz w:val="32"/>
          <w:szCs w:val="32"/>
          <w:u w:val="none"/>
        </w:rPr>
        <w:t>股、政策法规股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、财务股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事业单位包括：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人力资源服务中心、人力资源和社会保障网络服务中心、工伤保险服务中心、劳动人事争议仲裁院、劳动保障监察大队、人事考试中心。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1、2023年基本支出情况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基本支出用于为保障机构正常运转、完成日常工作任务而发生的支出，包括人员经费和日常公用经费。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2023年基本支出988.30万元 ，具体包括：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（1）工资福利支出441.27万元。主要包括在职人员工资、津贴补贴、奖金、绩效工资、基本养老保险、基本医疗保险、生育基金、工伤保险、住房公积金、其他工资福利支出等支出。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2）商品和服务支出305.36万元。包括日常运行正常办公经费、印刷费、咨询费、水费、电费、邮电费、物业管理费、差旅费、维修（护）费、租赁费、会议费、培训费、“三公经费”、劳务费、委托业务费、工会经费、福利费、其他交通费、税金及附加及其他商品服务支出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（3）对个人和家庭补助支出241.67万元。主要包括离休费、生活补助费、奖励金、其他对个人和家庭的补助等支出。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2、“三公”经费情况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度，区人社局“三公”经费0.80万元，其中公务接待费为0.80万元，公务用车购置费为0万元，公务用车运行维护费0万元，我局严格控制使用“三公经费”，把推进厉行节约、反对铺张浪费，确保“三公”经费各项要求落到实处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3、预决算公开情况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部门决算和部门预算编报通过区财政局审核批示，下达文件后，按照预决算公开的要求在政府网站上进行了公示，增强了预决算执行情况的透明度。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4、资产管理情况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按照“厉行节约、物尽其用”原则和内部管理制度规范执行。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（1）责任分归。固定资产的购置、使用、报废由办公室、财务股等共同负责。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2）管控流程。固定资产的购置先由各相关股室根据实际需要提出购置计划，填报固定资产购置申请表，按程序办理采购手续，凡纳入政府采购目录、达到规定标准的采购项目，按照政府采购的规定进行；资产的处置报废报审，按照国家规定的审批程序办理，确保资产的安全高效，防止资产流失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2023年按照区财政局要求编制了行政事业单位资产管理报表，确保了资产安全完整。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5、内部管理制度建设情况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内部管理制度建设情况：成立了内控工作领导小组，建立了内部控制管理制度。在内控管理方面，严格执行有关法律法规、财经制度，完善业务操作流程，坚持“先预算、后支出”,统筹安排使用各项资金，确保各项工作的顺利开展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2023年按照区财政局要求开展了内部控制基础性评价工作，进一步完善了内部控制体系。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项目支出是行政单位为完成特定的工作任务或事业发展目标，在基本的预算支出以外，财政预算专项安排的支出，主要为事业单位招考工作经费，社保基金督查工作经费等支出。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2023年度，区人社局项目支出总额为306.22万元。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三、政府性基金预算支出情况政府性基金预算支出情况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根据文件要求，对我局的整体支出认真开展了绩效自评工作。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（一）绩效评价目的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按照国家政策法规规定，结合实际情况，进一步规范财政资金的管理，强化财政支出绩效理念，建立健全财务管理制度和内控制度，依法、有效地使用财政资金，提高财政资金使用效率。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（二）绩效评价工作的过程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１、成立了绩效评价工作领导小组，由局长任组长，副局长及纪检组长任副组长，办公室主任、基金监督股股长、各二级机构负责人及单位财务人员为成员。本单位实际制订了自评方案，完善了评价指标体系。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2、下发通知，布置单位自评。本单位高度重视，第一时间下发了《关于做好202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部门整体支出绩效自评工作的通知》，自评工作小组本着客观、公正、科学的原则，对照部门整体支出绩效评价指标表，通过基础数据、原始资料、会计报表、业务报表审核自查，对组织机构、人员编制、预算管理、预算执行情况等进行了全面绩效自评，在自评过程中发现问题，查找原因，及时纠正偏差，为下一步工作夯实基础。保证了绩效自评工作真实性、准确性和完整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3、收集查阅资料。收集相关规章、制度、职责、工作计划等各种资料，对相关资料进行审核，确保资料的真实完整、可信。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4、形成评价结论。通过对资料分类整理和分析，按照评价指标、评价标准进行打分，形成自评结论，在自评过程中发现问题，查找原因，积极整改，为下一步的工作打下基础。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5、整理归档。绩效自评小组将自评情况、数据及相关佐证资料进行分类归档，有效索引。力争考核有数据、评价有依据、指标脉络明确、事实证据充分。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（三）部门职责履行情况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总体稳定就业形势。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坚持把就业创业作为“最大的民生工程”来推动，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重点突破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突出重点群体，精准帮扶。</w:t>
      </w:r>
      <w:r>
        <w:rPr>
          <w:rFonts w:hint="eastAsia" w:ascii="仿宋_GB2312" w:eastAsia="仿宋_GB2312"/>
          <w:sz w:val="32"/>
          <w:szCs w:val="32"/>
        </w:rPr>
        <w:t>实施“送岗”就业援助，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通过政府购岗、事业单位腾岗、企业供岗，帮助“4050”人员、“零就”业家庭、农村贫困就业家庭、退捕渔民、退役军人家庭等弱势群体“稳就业”。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年开发公益性岗位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个，</w:t>
      </w:r>
      <w:r>
        <w:rPr>
          <w:rFonts w:hint="eastAsia" w:ascii="仿宋" w:hAnsi="仿宋" w:eastAsia="仿宋" w:cs="仿宋"/>
          <w:b w:val="0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存量结转上年度279个，共安置</w:t>
      </w:r>
      <w:r>
        <w:rPr>
          <w:rFonts w:hint="eastAsia" w:ascii="仿宋_GB2312" w:eastAsia="仿宋_GB2312"/>
          <w:sz w:val="32"/>
          <w:szCs w:val="32"/>
        </w:rPr>
        <w:t>就业困难人员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342</w:t>
      </w:r>
      <w:r>
        <w:rPr>
          <w:rFonts w:hint="eastAsia" w:ascii="仿宋_GB2312" w:eastAsia="仿宋_GB2312"/>
          <w:sz w:val="32"/>
          <w:szCs w:val="32"/>
        </w:rPr>
        <w:t>人。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脱贫人口务工规模达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2571人，完成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比为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112%；</w:t>
      </w:r>
      <w:r>
        <w:rPr>
          <w:rFonts w:hint="eastAsia" w:ascii="仿宋" w:hAnsi="仿宋" w:eastAsia="仿宋" w:cs="仿宋"/>
          <w:sz w:val="32"/>
          <w:szCs w:val="32"/>
        </w:rPr>
        <w:t>退捕渔民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转产</w:t>
      </w:r>
      <w:r>
        <w:rPr>
          <w:rFonts w:hint="eastAsia" w:ascii="仿宋" w:hAnsi="仿宋" w:eastAsia="仿宋" w:cs="仿宋"/>
          <w:sz w:val="32"/>
          <w:szCs w:val="32"/>
        </w:rPr>
        <w:t>就业工作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多次得到人社部、省厅、市局的</w:t>
      </w:r>
      <w:r>
        <w:rPr>
          <w:rFonts w:hint="eastAsia" w:ascii="仿宋" w:hAnsi="仿宋" w:eastAsia="仿宋" w:cs="仿宋"/>
          <w:sz w:val="32"/>
          <w:szCs w:val="32"/>
        </w:rPr>
        <w:t>充分肯定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和推介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突出重点区域，提升服务。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把服务园区企业用工作为就业工作主战场，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举办“春风行动”等各类招聘会10场次，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200多家次企业、安排“就业直通车”72台次免费接送求职者参加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招聘到岗2576余人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突出重点职业，强化培训。</w:t>
      </w:r>
      <w:r>
        <w:rPr>
          <w:rFonts w:hint="eastAsia" w:ascii="仿宋" w:hAnsi="仿宋" w:eastAsia="仿宋"/>
          <w:color w:val="000000"/>
          <w:sz w:val="32"/>
          <w:szCs w:val="32"/>
        </w:rPr>
        <w:t>开办中式烹调师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等职业技能培训和</w:t>
      </w:r>
      <w:r>
        <w:rPr>
          <w:rFonts w:hint="eastAsia" w:ascii="仿宋" w:hAnsi="仿宋" w:eastAsia="仿宋"/>
          <w:color w:val="000000"/>
          <w:sz w:val="32"/>
          <w:szCs w:val="32"/>
        </w:rPr>
        <w:t>民宿创业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等创业</w:t>
      </w:r>
      <w:r>
        <w:rPr>
          <w:rFonts w:hint="eastAsia" w:ascii="仿宋" w:hAnsi="仿宋" w:eastAsia="仿宋"/>
          <w:color w:val="000000"/>
          <w:sz w:val="32"/>
          <w:szCs w:val="32"/>
        </w:rPr>
        <w:t>培训班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29个班次，培训1055人，完成任务比为101.45%。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创新校企合作模式，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共培训538人次。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突出重点实体，服务提质。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以“河西电商”为核心的电商平台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推动了六门闸创业孵化基地建设</w:t>
      </w:r>
      <w:r>
        <w:rPr>
          <w:rFonts w:hint="eastAsia" w:ascii="仿宋" w:hAnsi="仿宋" w:eastAsia="仿宋" w:cs="仿宋"/>
          <w:sz w:val="32"/>
          <w:szCs w:val="32"/>
        </w:rPr>
        <w:t>。充分发挥小额担保贷款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助创功能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</w:rPr>
        <w:t>发放创业担保贷款2350万元，扶持新增创业实体18个，带动就业350余人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2023年，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城镇新增就业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32"/>
          <w:szCs w:val="32"/>
        </w:rPr>
        <w:t>2558人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32"/>
          <w:szCs w:val="32"/>
          <w:lang w:val="en-US" w:eastAsia="zh-CN"/>
        </w:rPr>
        <w:t>完成比为107%；</w:t>
      </w:r>
      <w:r>
        <w:rPr>
          <w:rFonts w:hint="eastAsia" w:ascii="仿宋" w:hAnsi="仿宋" w:eastAsia="仿宋" w:cs="Arial"/>
          <w:b w:val="0"/>
          <w:bCs w:val="0"/>
          <w:color w:val="000000"/>
          <w:kern w:val="0"/>
          <w:sz w:val="32"/>
          <w:szCs w:val="32"/>
        </w:rPr>
        <w:t>城镇调查失业率控制在5.2%以内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全力维护社保安全平稳。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抓参保扩面，保发放。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养老、工伤、失业保险法定人员参保分别达到18.67万人、3.82万人、0.45万人；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发放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各项社保待遇16.2亿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</w:t>
      </w: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多维开展人事人才工作。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经济要发展，人才是关键，人才资源是第一资源。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多维揽才。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通过“四海揽才”、公开招聘、教师回流等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引进各层次技能人才80人。同时，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与岳阳人才集团签订了</w:t>
      </w:r>
      <w:r>
        <w:rPr>
          <w:rFonts w:hint="eastAsia" w:ascii="仿宋" w:hAnsi="仿宋" w:eastAsia="仿宋" w:cs="仿宋"/>
          <w:sz w:val="32"/>
          <w:szCs w:val="32"/>
        </w:rPr>
        <w:t>全面战略合作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" w:eastAsia="zh-CN"/>
        </w:rPr>
        <w:t>人才与人力资源服务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</w:rPr>
        <w:t>增添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</w:rPr>
        <w:t>新的动力</w:t>
      </w:r>
      <w:r>
        <w:rPr>
          <w:rFonts w:hint="eastAsia" w:ascii="仿宋" w:hAnsi="仿宋" w:eastAsia="仿宋" w:cs="仿宋"/>
          <w:i w:val="0"/>
          <w:iCs w:val="0"/>
          <w:caps w:val="0"/>
          <w:color w:val="313131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努力构建和谐劳动关系。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抓根治欠薪。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抓工作部署，</w:t>
      </w:r>
      <w:r>
        <w:rPr>
          <w:rFonts w:hint="eastAsia" w:ascii="仿宋" w:hAnsi="仿宋" w:eastAsia="仿宋" w:cs="仿宋"/>
          <w:sz w:val="32"/>
          <w:szCs w:val="32"/>
        </w:rPr>
        <w:t>将“根治欠薪”工作纳入目标管理绩效考核范畴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抓任务落实，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“君山区根治欠薪情况通报群”，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定期调度，定期督查，定期通报；抓部门协作，建立了</w:t>
      </w:r>
      <w:r>
        <w:rPr>
          <w:rFonts w:hint="eastAsia" w:ascii="仿宋" w:hAnsi="仿宋" w:eastAsia="仿宋" w:cs="仿宋"/>
          <w:sz w:val="32"/>
          <w:szCs w:val="32"/>
        </w:rPr>
        <w:t>住建、交通、水利等行业主管部门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联席会议制度</w:t>
      </w:r>
      <w:r>
        <w:rPr>
          <w:rFonts w:hint="eastAsia" w:ascii="仿宋" w:hAnsi="仿宋" w:eastAsia="仿宋" w:cs="仿宋"/>
          <w:sz w:val="32"/>
          <w:szCs w:val="32"/>
        </w:rPr>
        <w:t>，形成了多部门通力协作的工作格局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为1230名农民工追回拖欠工资850余万元。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抓仲裁调解。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坚持以调为先，调解劳动人事仲裁案件33个，调解成功率100%。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区劳动人事争议仲裁院调解中心获评“湖南省劳动人事争议金牌调解组织”。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（四）财政预算绩效管理情况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1、预算编制情况：202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年我局认真贯彻执行《会计法》、《预算法》等法律法规，认真进行了预算编制，依据整体绩效目标所设定的绩效指标清晰、细化、可衡量。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执行管理情况：我局管理制度健全，加强了财政专项资金管理，严格按预算进度支付费用，加强了“三公”经费、公用经费、结转结余的控制，各项经费支出严格按照政府采购、国库集中支付等有关规定执行,预算执行完成和控制较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（五）财政预算绩效自评结论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绩效自评，进一步掌握了资金使用情况和取得的效果，总结了项目资金管理经验，发现了工作中存在的问题和不足，为今后加强资金使用管理、健全资金支出项目、完善资金绩效管理、提高资金使用效益工作提供了重要的参考依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认真对照《202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年部门整体支出绩效自评指标计分表》，我局各项指标都较好地达到了相关要求，202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年部门整体支出绩效自评结论为优秀。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、提高预算编制科学性和合理性，严格执行预算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预算编制的前瞻性，按照《预算法》及其实施条例的相关规定，按政策规定及本单位的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2、兼顾预算调整的灵活性 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开展预算执行分析，及时掌握预算执行进度，适时对预算执行情况进行通报和督促。对确有必要的预算调整严格按程序审核报批，加快消化结转结余资金。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3、加强财务人员的学习培训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加强单位财务人员《预算法》《政府会计准则》和《政府会计制度》等相关方面的业务培训学习，规范部门预算收支核算，增强预算的约束力和严肃性，切实提高部门预算收支管理水平。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完善制度管理，严格控制支出。严格执行中央、省、市有关文件精神，确保厉行节约、反对铺张浪费，严控“三公”经费等公务支出。严格按照预算规定的费用项目和用途进行资金使用审核、列报支付、财务核算，杜绝超支现象的发生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4C1B6"/>
    <w:multiLevelType w:val="singleLevel"/>
    <w:tmpl w:val="9A54C1B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8942BA"/>
    <w:multiLevelType w:val="singleLevel"/>
    <w:tmpl w:val="0F8942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465D64"/>
    <w:multiLevelType w:val="singleLevel"/>
    <w:tmpl w:val="79465D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Y1ZDBhNTY1NGY2NzQxMTJkZjllNzcxMjQ0MjcifQ=="/>
  </w:docVars>
  <w:rsids>
    <w:rsidRoot w:val="59886344"/>
    <w:rsid w:val="04614EE6"/>
    <w:rsid w:val="094D2D64"/>
    <w:rsid w:val="0D086BD7"/>
    <w:rsid w:val="0FBC09E9"/>
    <w:rsid w:val="134F34D0"/>
    <w:rsid w:val="13630AF5"/>
    <w:rsid w:val="138D2CA8"/>
    <w:rsid w:val="151E7250"/>
    <w:rsid w:val="17D43399"/>
    <w:rsid w:val="1FB70EE8"/>
    <w:rsid w:val="217A4DE0"/>
    <w:rsid w:val="22D00801"/>
    <w:rsid w:val="25FD22A6"/>
    <w:rsid w:val="2916211A"/>
    <w:rsid w:val="2B994EAF"/>
    <w:rsid w:val="2C4B79BF"/>
    <w:rsid w:val="2D4F41C3"/>
    <w:rsid w:val="2DB50944"/>
    <w:rsid w:val="2E4C55F3"/>
    <w:rsid w:val="31624F2A"/>
    <w:rsid w:val="326B7098"/>
    <w:rsid w:val="367B6582"/>
    <w:rsid w:val="376A3EC1"/>
    <w:rsid w:val="3A3B3B69"/>
    <w:rsid w:val="3A7F5366"/>
    <w:rsid w:val="3C74033D"/>
    <w:rsid w:val="3C9031B9"/>
    <w:rsid w:val="3F9D6F83"/>
    <w:rsid w:val="41350ADC"/>
    <w:rsid w:val="416C1278"/>
    <w:rsid w:val="41FC7431"/>
    <w:rsid w:val="44D93AA4"/>
    <w:rsid w:val="490911CB"/>
    <w:rsid w:val="4A8E20F7"/>
    <w:rsid w:val="4CDC3724"/>
    <w:rsid w:val="4D476ED8"/>
    <w:rsid w:val="4FE6000A"/>
    <w:rsid w:val="52F4448F"/>
    <w:rsid w:val="557B26D6"/>
    <w:rsid w:val="57770761"/>
    <w:rsid w:val="584D65AC"/>
    <w:rsid w:val="59886344"/>
    <w:rsid w:val="5D744C44"/>
    <w:rsid w:val="62A52B40"/>
    <w:rsid w:val="66277D02"/>
    <w:rsid w:val="67095D94"/>
    <w:rsid w:val="674F51D9"/>
    <w:rsid w:val="6967304F"/>
    <w:rsid w:val="6F12311E"/>
    <w:rsid w:val="6F5E0B5E"/>
    <w:rsid w:val="72AE3C93"/>
    <w:rsid w:val="763171AC"/>
    <w:rsid w:val="78692732"/>
    <w:rsid w:val="7CEE5C7B"/>
    <w:rsid w:val="7F475F79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6955</Words>
  <Characters>7463</Characters>
  <Lines>0</Lines>
  <Paragraphs>0</Paragraphs>
  <TotalTime>1</TotalTime>
  <ScaleCrop>false</ScaleCrop>
  <LinksUpToDate>false</LinksUpToDate>
  <CharactersWithSpaces>7960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兴鋅</cp:lastModifiedBy>
  <dcterms:modified xsi:type="dcterms:W3CDTF">2024-06-28T01:36:23Z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