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年度岳阳市君山区融媒体中心</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26</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岳阳市君山区融媒体中心</w:t>
      </w:r>
    </w:p>
    <w:p>
      <w:pPr>
        <w:jc w:val="center"/>
        <w:rPr>
          <w:rFonts w:hint="default" w:ascii="Times New Roman" w:hAnsi="Times New Roman" w:eastAsia="黑体" w:cs="Times New Roman"/>
          <w:sz w:val="32"/>
          <w:szCs w:val="32"/>
          <w:highlight w:val="none"/>
        </w:rPr>
      </w:pPr>
      <w:r>
        <w:rPr>
          <w:rFonts w:hint="eastAsia" w:ascii="方正小标宋简体" w:hAnsi="方正小标宋简体" w:eastAsia="方正小标宋简体" w:cs="方正小标宋简体"/>
          <w:sz w:val="44"/>
          <w:szCs w:val="44"/>
          <w:highlight w:val="none"/>
        </w:rPr>
        <w:t>整体支出绩效自评报告</w:t>
      </w:r>
    </w:p>
    <w:p>
      <w:pPr>
        <w:pStyle w:val="13"/>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　</w:t>
      </w:r>
    </w:p>
    <w:p>
      <w:pPr>
        <w:pStyle w:val="13"/>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　一、部门（单位）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widowControl/>
        <w:spacing w:line="600" w:lineRule="exact"/>
        <w:ind w:firstLine="640" w:firstLineChars="200"/>
        <w:jc w:val="left"/>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岳阳市君山区融媒体中心（以下简称区融媒体中心）是区政府直属正科级公益类事业单位，归口区委宣传部管理。</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sz w:val="32"/>
          <w:szCs w:val="32"/>
        </w:rPr>
      </w:pPr>
      <w:r>
        <w:rPr>
          <w:rFonts w:hint="eastAsia" w:eastAsia="仿宋_GB2312"/>
          <w:sz w:val="32"/>
          <w:szCs w:val="32"/>
        </w:rPr>
        <w:t>1、贯彻执行党和国家新闻宣传的路线、方针、政策。把握正确的舆论导向，围绕区委、区政府中心工作，开展全区新闻宣传报道。</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0" w:firstLineChars="100"/>
        <w:jc w:val="both"/>
        <w:textAlignment w:val="auto"/>
        <w:rPr>
          <w:rFonts w:hint="eastAsia" w:eastAsia="仿宋_GB2312"/>
          <w:sz w:val="32"/>
          <w:szCs w:val="32"/>
        </w:rPr>
      </w:pPr>
      <w:r>
        <w:rPr>
          <w:rFonts w:hint="eastAsia" w:eastAsia="仿宋_GB2312"/>
          <w:sz w:val="32"/>
          <w:szCs w:val="32"/>
        </w:rPr>
        <w:t>　2、承办重大宣传活动的直播、录播工作;负责各行政执法部门的舆论监督。</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sz w:val="32"/>
          <w:szCs w:val="32"/>
        </w:rPr>
      </w:pPr>
      <w:r>
        <w:rPr>
          <w:rFonts w:hint="eastAsia" w:eastAsia="仿宋_GB2312"/>
          <w:sz w:val="32"/>
          <w:szCs w:val="32"/>
        </w:rPr>
        <w:t>3、承办君山电视台、君山应急广播电台、君山新闻网、君山手机报、君山微信公众号、君山在线APP(新湖南客户端君山频道)等媒体。</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sz w:val="32"/>
          <w:szCs w:val="32"/>
        </w:rPr>
      </w:pPr>
      <w:r>
        <w:rPr>
          <w:rFonts w:hint="eastAsia" w:eastAsia="仿宋_GB2312"/>
          <w:sz w:val="32"/>
          <w:szCs w:val="32"/>
        </w:rPr>
        <w:t>4、按照区委工作机关拟定全区新闻媒体事业发展规划具体实施;负责全区官方新媒体的研究和开发利用；</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sz w:val="32"/>
          <w:szCs w:val="32"/>
        </w:rPr>
      </w:pPr>
      <w:r>
        <w:rPr>
          <w:rFonts w:hint="eastAsia" w:eastAsia="仿宋_GB2312"/>
          <w:sz w:val="32"/>
          <w:szCs w:val="32"/>
        </w:rPr>
        <w:t>5、负责广播、电视等媒体的监听、监看工作，组织审查自办节目频道播出的电视剧、电影和其他节目的内容和质量，确保广播、电视节目优质安全播出。</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sz w:val="32"/>
          <w:szCs w:val="32"/>
        </w:rPr>
      </w:pPr>
      <w:r>
        <w:rPr>
          <w:rFonts w:hint="eastAsia" w:eastAsia="仿宋_GB2312"/>
          <w:sz w:val="32"/>
          <w:szCs w:val="32"/>
        </w:rPr>
        <w:t>6、负责农村广播“村村响”节目录制和播出。</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sz w:val="32"/>
          <w:szCs w:val="32"/>
        </w:rPr>
      </w:pPr>
      <w:r>
        <w:rPr>
          <w:rFonts w:hint="eastAsia" w:eastAsia="仿宋_GB2312"/>
          <w:sz w:val="32"/>
          <w:szCs w:val="32"/>
        </w:rPr>
        <w:t>7、负责全区党员教育音视频课件制作。</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sz w:val="32"/>
          <w:szCs w:val="32"/>
        </w:rPr>
      </w:pPr>
      <w:r>
        <w:rPr>
          <w:rFonts w:hint="eastAsia" w:eastAsia="仿宋_GB2312"/>
          <w:sz w:val="32"/>
          <w:szCs w:val="32"/>
        </w:rPr>
        <w:t>8、负责全区新闻宣传人才的培训、培养、引进和使用工作，建立统分结合、机动灵活、因事设岗、精干高效的管理体制。</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eastAsia="仿宋_GB2312"/>
          <w:sz w:val="32"/>
          <w:szCs w:val="32"/>
        </w:rPr>
      </w:pPr>
      <w:r>
        <w:rPr>
          <w:rFonts w:hint="eastAsia" w:eastAsia="仿宋_GB2312"/>
          <w:sz w:val="32"/>
          <w:szCs w:val="32"/>
        </w:rPr>
        <w:t>9、加强与中央、省、市各类媒体的联系与合作。</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楷体_GB2312" w:cs="Times New Roman"/>
          <w:b/>
          <w:sz w:val="32"/>
          <w:szCs w:val="32"/>
          <w:highlight w:val="none"/>
          <w:lang w:eastAsia="zh-CN"/>
        </w:rPr>
      </w:pPr>
      <w:r>
        <w:rPr>
          <w:rFonts w:hint="eastAsia" w:eastAsia="仿宋_GB2312"/>
          <w:sz w:val="32"/>
          <w:szCs w:val="32"/>
        </w:rPr>
        <w:t>10、承办区委、区人民政府交办的其他事项。</w:t>
      </w:r>
      <w:r>
        <w:rPr>
          <w:rFonts w:hint="eastAsia" w:ascii="Times New Roman" w:hAnsi="Times New Roman" w:eastAsia="楷体_GB2312" w:cs="Times New Roman"/>
          <w:b/>
          <w:sz w:val="32"/>
          <w:szCs w:val="32"/>
          <w:highlight w:val="none"/>
          <w:lang w:eastAsia="zh-CN"/>
        </w:rPr>
        <w:t>　</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eastAsia="仿宋_GB2312"/>
          <w:b/>
          <w:sz w:val="32"/>
          <w:szCs w:val="32"/>
          <w:highlight w:val="none"/>
        </w:rPr>
      </w:pPr>
      <w:r>
        <w:rPr>
          <w:rFonts w:hint="eastAsia" w:ascii="仿宋_GB2312" w:hAnsi="仿宋_GB2312" w:eastAsia="仿宋_GB2312" w:cs="仿宋_GB2312"/>
          <w:kern w:val="2"/>
          <w:sz w:val="32"/>
          <w:szCs w:val="32"/>
          <w:lang w:val="en-US" w:eastAsia="zh-CN" w:bidi="ar-SA"/>
        </w:rPr>
        <w:t>区融媒体中心</w:t>
      </w:r>
      <w:r>
        <w:rPr>
          <w:rFonts w:hint="eastAsia" w:eastAsia="仿宋_GB2312"/>
          <w:sz w:val="32"/>
          <w:szCs w:val="32"/>
        </w:rPr>
        <w:t>内设君山区钱粮湖转播站、君山区网络管理中心、新闻部、制作室、广告公司。下属区广播“村村响”服务站。</w:t>
      </w:r>
    </w:p>
    <w:p>
      <w:pPr>
        <w:widowControl/>
        <w:spacing w:before="120" w:beforeLines="50" w:line="360" w:lineRule="auto"/>
        <w:ind w:firstLine="640" w:firstLineChars="200"/>
        <w:jc w:val="left"/>
        <w:rPr>
          <w:rFonts w:hint="eastAsia" w:eastAsia="仿宋_GB2312"/>
          <w:sz w:val="32"/>
          <w:szCs w:val="32"/>
          <w:lang w:val="en-US" w:eastAsia="zh-CN"/>
        </w:rPr>
      </w:pPr>
      <w:r>
        <w:rPr>
          <w:rFonts w:hint="eastAsia" w:ascii="Times New Roman" w:hAnsi="Times New Roman" w:eastAsia="仿宋_GB2312" w:cs="Times New Roman"/>
          <w:color w:val="000000"/>
          <w:kern w:val="0"/>
          <w:sz w:val="32"/>
          <w:szCs w:val="32"/>
          <w:highlight w:val="none"/>
          <w:lang w:val="en-US" w:eastAsia="zh-CN" w:bidi="ar-SA"/>
        </w:rPr>
        <w:t>202</w:t>
      </w:r>
      <w:r>
        <w:rPr>
          <w:rFonts w:hint="eastAsia" w:eastAsia="仿宋_GB2312"/>
          <w:sz w:val="32"/>
          <w:szCs w:val="32"/>
          <w:lang w:val="en-US" w:eastAsia="zh-CN"/>
        </w:rPr>
        <w:t>3</w:t>
      </w:r>
      <w:r>
        <w:rPr>
          <w:rFonts w:hint="default" w:eastAsia="仿宋_GB2312"/>
          <w:sz w:val="32"/>
          <w:szCs w:val="32"/>
          <w:lang w:val="en-US" w:eastAsia="zh-CN"/>
        </w:rPr>
        <w:t>年末</w:t>
      </w:r>
      <w:r>
        <w:rPr>
          <w:rFonts w:hint="eastAsia" w:eastAsia="仿宋_GB2312"/>
          <w:sz w:val="32"/>
          <w:szCs w:val="32"/>
          <w:lang w:val="en-US" w:eastAsia="zh-CN"/>
        </w:rPr>
        <w:t>共有人员</w:t>
      </w:r>
      <w:r>
        <w:rPr>
          <w:rFonts w:hint="eastAsia" w:eastAsia="仿宋_GB2312"/>
          <w:sz w:val="32"/>
          <w:szCs w:val="32"/>
        </w:rPr>
        <w:t>3</w:t>
      </w:r>
      <w:r>
        <w:rPr>
          <w:rFonts w:hint="eastAsia" w:eastAsia="仿宋_GB2312"/>
          <w:sz w:val="32"/>
          <w:szCs w:val="32"/>
          <w:lang w:val="en-US" w:eastAsia="zh-CN"/>
        </w:rPr>
        <w:t>8</w:t>
      </w:r>
      <w:bookmarkStart w:id="0" w:name="_GoBack"/>
      <w:bookmarkEnd w:id="0"/>
      <w:r>
        <w:rPr>
          <w:rFonts w:hint="eastAsia" w:eastAsia="仿宋_GB2312"/>
          <w:sz w:val="32"/>
          <w:szCs w:val="32"/>
        </w:rPr>
        <w:t>人，在</w:t>
      </w:r>
      <w:r>
        <w:rPr>
          <w:rFonts w:hint="eastAsia" w:eastAsia="仿宋_GB2312"/>
          <w:sz w:val="32"/>
          <w:szCs w:val="32"/>
          <w:lang w:eastAsia="zh-CN"/>
        </w:rPr>
        <w:t>职人员</w:t>
      </w:r>
      <w:r>
        <w:rPr>
          <w:rFonts w:hint="eastAsia" w:eastAsia="仿宋_GB2312"/>
          <w:sz w:val="32"/>
          <w:szCs w:val="32"/>
        </w:rPr>
        <w:t>2</w:t>
      </w:r>
      <w:r>
        <w:rPr>
          <w:rFonts w:hint="eastAsia" w:eastAsia="仿宋_GB2312"/>
          <w:sz w:val="32"/>
          <w:szCs w:val="32"/>
          <w:lang w:val="en-US" w:eastAsia="zh-CN"/>
        </w:rPr>
        <w:t>5</w:t>
      </w:r>
      <w:r>
        <w:rPr>
          <w:rFonts w:hint="eastAsia" w:eastAsia="仿宋_GB2312"/>
          <w:sz w:val="32"/>
          <w:szCs w:val="32"/>
        </w:rPr>
        <w:t>人，退休人员</w:t>
      </w:r>
      <w:r>
        <w:rPr>
          <w:rFonts w:hint="eastAsia" w:eastAsia="仿宋_GB2312"/>
          <w:sz w:val="32"/>
          <w:szCs w:val="32"/>
          <w:lang w:val="en-US" w:eastAsia="zh-CN"/>
        </w:rPr>
        <w:t>13人。</w:t>
      </w:r>
    </w:p>
    <w:p>
      <w:pPr>
        <w:pStyle w:val="13"/>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整体支出绩效目标：积极推行预算绩效管理，强化对资金使用情况的预算约束和监管，提高了财政资金的作用效能，促进了管理效能的大力提升。全年瞄准职能职责，在区委、区政府的正确领导下，在区委宣传部的指导下，紧紧围绕区委、区政府安排部署和全区工作大局，着力开展对内、对外宣传，弘扬主旋律，传播正能量，讲好君山故事，树好君山形象，传播君山声音，为全区经济社会发展和宣传思想工作贡献了融媒力量，服务了君山区经济社会发展。</w:t>
      </w:r>
    </w:p>
    <w:p>
      <w:pPr>
        <w:pStyle w:val="13"/>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项目支出绩效目标：开展媒体融合创新服务，持续抓好新闻宣传，安全播出严谨有序。围绕中心工作，打好宣传主动仗。发挥资源优势，创新主题宣传。</w:t>
      </w:r>
    </w:p>
    <w:p>
      <w:pPr>
        <w:pStyle w:val="13"/>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3"/>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区融媒体中心2023年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预算资金1080.83</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576.36</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项目支出504.47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。全年实际支出1080.83</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576.36</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项目支出504.47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3"/>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3"/>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区融媒体中心2023年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576.36</w:t>
      </w:r>
      <w:r>
        <w:rPr>
          <w:rFonts w:hint="default" w:ascii="仿宋_GB2312" w:hAnsi="仿宋_GB2312" w:eastAsia="仿宋_GB2312" w:cs="仿宋_GB2312"/>
          <w:kern w:val="2"/>
          <w:sz w:val="32"/>
          <w:szCs w:val="32"/>
          <w:lang w:val="en-US" w:eastAsia="zh-CN" w:bidi="ar-SA"/>
        </w:rPr>
        <w:t>万元，其中人员经费</w:t>
      </w:r>
      <w:r>
        <w:rPr>
          <w:rFonts w:hint="eastAsia" w:ascii="仿宋_GB2312" w:hAnsi="仿宋_GB2312" w:eastAsia="仿宋_GB2312" w:cs="仿宋_GB2312"/>
          <w:kern w:val="2"/>
          <w:sz w:val="32"/>
          <w:szCs w:val="32"/>
          <w:lang w:val="en-US" w:eastAsia="zh-CN" w:bidi="ar-SA"/>
        </w:rPr>
        <w:t>423.21</w:t>
      </w:r>
      <w:r>
        <w:rPr>
          <w:rFonts w:hint="default" w:ascii="仿宋_GB2312" w:hAnsi="仿宋_GB2312" w:eastAsia="仿宋_GB2312" w:cs="仿宋_GB2312"/>
          <w:kern w:val="2"/>
          <w:sz w:val="32"/>
          <w:szCs w:val="32"/>
          <w:lang w:val="en-US" w:eastAsia="zh-CN" w:bidi="ar-SA"/>
        </w:rPr>
        <w:t>万元，公用经费</w:t>
      </w:r>
      <w:r>
        <w:rPr>
          <w:rFonts w:hint="eastAsia" w:ascii="仿宋_GB2312" w:hAnsi="仿宋_GB2312" w:eastAsia="仿宋_GB2312" w:cs="仿宋_GB2312"/>
          <w:kern w:val="2"/>
          <w:sz w:val="32"/>
          <w:szCs w:val="32"/>
          <w:highlight w:val="none"/>
          <w:lang w:val="en-US" w:eastAsia="zh-CN" w:bidi="ar-SA"/>
        </w:rPr>
        <w:t>153.15</w:t>
      </w:r>
      <w:r>
        <w:rPr>
          <w:rFonts w:hint="default" w:ascii="仿宋_GB2312" w:hAnsi="仿宋_GB2312" w:eastAsia="仿宋_GB2312" w:cs="仿宋_GB2312"/>
          <w:kern w:val="2"/>
          <w:sz w:val="32"/>
          <w:szCs w:val="32"/>
          <w:lang w:val="en-US" w:eastAsia="zh-CN" w:bidi="ar-SA"/>
        </w:rPr>
        <w:t>万元。</w:t>
      </w:r>
    </w:p>
    <w:p>
      <w:pPr>
        <w:pStyle w:val="13"/>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3"/>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sz w:val="32"/>
          <w:szCs w:val="32"/>
          <w:highlight w:val="yellow"/>
          <w:lang w:eastAsia="zh-CN"/>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kern w:val="2"/>
          <w:sz w:val="32"/>
          <w:szCs w:val="32"/>
          <w:lang w:val="en-US" w:eastAsia="zh-CN" w:bidi="ar-SA"/>
        </w:rPr>
        <w:t>　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区融媒体中心</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项目支出504.47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w:t>
      </w:r>
      <w:r>
        <w:rPr>
          <w:rFonts w:hint="eastAsia" w:ascii="仿宋_GB2312" w:hAnsi="仿宋_GB2312" w:eastAsia="仿宋_GB2312" w:cs="仿宋_GB2312"/>
          <w:color w:val="000000"/>
          <w:kern w:val="2"/>
          <w:sz w:val="32"/>
          <w:szCs w:val="32"/>
          <w:shd w:val="clear" w:color="auto" w:fill="FFFFFF"/>
          <w:lang w:val="en-US" w:eastAsia="zh-CN" w:bidi="ar-SA"/>
        </w:rPr>
        <w:t>发生的支出，包括有关事业发展专项、专项业务费、基本建设支出等，含融媒体专项、业务工作经费等项目支出。</w:t>
      </w:r>
    </w:p>
    <w:p>
      <w:pPr>
        <w:pStyle w:val="13"/>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3"/>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区融媒体中心无此项支出。</w:t>
      </w:r>
    </w:p>
    <w:p>
      <w:pPr>
        <w:pStyle w:val="13"/>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3"/>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区融媒体中心无此项支出。</w:t>
      </w:r>
    </w:p>
    <w:p>
      <w:pPr>
        <w:pStyle w:val="13"/>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3"/>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区融媒体中心无此项支出。</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3"/>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区融媒体中心</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部门整体支出绩效自评得分99分。</w:t>
      </w:r>
    </w:p>
    <w:p>
      <w:pPr>
        <w:keepNext w:val="0"/>
        <w:keepLines w:val="0"/>
        <w:pageBreakBefore w:val="0"/>
        <w:widowControl/>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3"/>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区融媒体中心</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3"/>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区融媒体中心</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keepNext w:val="0"/>
        <w:keepLines w:val="0"/>
        <w:pageBreakBefore w:val="0"/>
        <w:kinsoku/>
        <w:wordWrap/>
        <w:overflowPunct/>
        <w:topLinePunct w:val="0"/>
        <w:autoSpaceDN/>
        <w:bidi w:val="0"/>
        <w:adjustRightInd/>
        <w:spacing w:line="58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围绕中心、服务大局，舆论引导主动有力</w:t>
      </w:r>
    </w:p>
    <w:p>
      <w:pPr>
        <w:keepNext w:val="0"/>
        <w:keepLines w:val="0"/>
        <w:pageBreakBefore w:val="0"/>
        <w:kinsoku/>
        <w:wordWrap/>
        <w:overflowPunct/>
        <w:topLinePunct w:val="0"/>
        <w:autoSpaceDN/>
        <w:bidi w:val="0"/>
        <w:adjustRightIn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今年来，微信公众号《君山在线》编发稿件295档1550篇。电视新闻《君山新闻》96档，播发稿件765条，开设了宣讲党的二十大、春耕备耕等内容的专栏；《君山融媒》播发短视频426篇，</w:t>
      </w:r>
      <w:r>
        <w:rPr>
          <w:rFonts w:hint="eastAsia" w:ascii="仿宋" w:hAnsi="仿宋" w:eastAsia="仿宋" w:cs="仿宋"/>
          <w:sz w:val="32"/>
          <w:szCs w:val="32"/>
          <w:lang w:eastAsia="zh-Hans"/>
        </w:rPr>
        <w:t>《来君山吧》、《邂逅“醉”美花海》等短视频的播放量超过两万。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天竺少女·君山水果版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引爆网友笑点。《楹联里的简约人生》荣获湖南红网融媒优秀作品奖。</w:t>
      </w:r>
      <w:r>
        <w:rPr>
          <w:rFonts w:hint="eastAsia" w:ascii="仿宋" w:hAnsi="仿宋" w:eastAsia="仿宋" w:cs="仿宋"/>
          <w:sz w:val="32"/>
          <w:szCs w:val="32"/>
        </w:rPr>
        <w:t>《精致君山APP》发布原创稿件1089条。广播“村村响”每天三档播出，播放《国内国际新闻》《农安君山》等专题节目，配合区中心工作开设《道路交通安全》、《反诈宣传》等专栏。《大美江湖，交响君山》主题音乐会</w:t>
      </w:r>
      <w:r>
        <w:rPr>
          <w:rFonts w:hint="eastAsia" w:ascii="仿宋" w:hAnsi="仿宋" w:eastAsia="仿宋" w:cs="仿宋"/>
          <w:sz w:val="32"/>
          <w:szCs w:val="32"/>
          <w:lang w:val="en-US" w:eastAsia="zh-CN"/>
        </w:rPr>
        <w:t>等7场节目</w:t>
      </w:r>
      <w:r>
        <w:rPr>
          <w:rFonts w:hint="eastAsia" w:ascii="仿宋" w:hAnsi="仿宋" w:eastAsia="仿宋" w:cs="仿宋"/>
          <w:sz w:val="32"/>
          <w:szCs w:val="32"/>
        </w:rPr>
        <w:t>，通过视频号、抖音、微博等新媒体平台进行网络直播。</w:t>
      </w:r>
      <w:r>
        <w:rPr>
          <w:rFonts w:hint="eastAsia" w:ascii="仿宋" w:hAnsi="仿宋" w:eastAsia="仿宋" w:cs="仿宋"/>
          <w:color w:val="000000"/>
          <w:kern w:val="0"/>
          <w:sz w:val="32"/>
          <w:szCs w:val="32"/>
          <w:shd w:val="clear" w:color="auto" w:fill="FFFFFF"/>
          <w:lang w:bidi="ar"/>
        </w:rPr>
        <w:t>通过开设一批专栏，撰写一批重头稿件，讲好君山故事。</w:t>
      </w:r>
      <w:r>
        <w:rPr>
          <w:rFonts w:hint="eastAsia" w:ascii="仿宋" w:hAnsi="仿宋" w:eastAsia="仿宋" w:cs="仿宋"/>
          <w:sz w:val="32"/>
          <w:szCs w:val="32"/>
        </w:rPr>
        <w:t>依托地域优势，围绕“油菜花节”“龙虾节”“首倡地展陈馆开馆”“野生荷花节”“马拉松赛”“4·25系列活动”等主题开展宣传，为推进“农文旅体”融合大发展提供了强有力的舆论支持</w:t>
      </w:r>
      <w:r>
        <w:rPr>
          <w:rFonts w:hint="eastAsia" w:ascii="仿宋" w:hAnsi="仿宋" w:eastAsia="仿宋" w:cs="仿宋"/>
          <w:sz w:val="32"/>
          <w:szCs w:val="32"/>
          <w:lang w:eastAsia="zh-CN"/>
        </w:rPr>
        <w:t>。</w:t>
      </w:r>
    </w:p>
    <w:p>
      <w:pPr>
        <w:keepNext w:val="0"/>
        <w:keepLines w:val="0"/>
        <w:pageBreakBefore w:val="0"/>
        <w:kinsoku/>
        <w:wordWrap/>
        <w:overflowPunct/>
        <w:topLinePunct w:val="0"/>
        <w:autoSpaceDN/>
        <w:bidi w:val="0"/>
        <w:adjustRightInd/>
        <w:spacing w:line="580" w:lineRule="exact"/>
        <w:ind w:firstLine="643" w:firstLineChars="200"/>
        <w:textAlignment w:val="auto"/>
        <w:rPr>
          <w:rFonts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聚焦热点，精准策划，对外宣传精彩纷呈</w:t>
      </w:r>
    </w:p>
    <w:p>
      <w:pPr>
        <w:keepNext w:val="0"/>
        <w:keepLines w:val="0"/>
        <w:pageBreakBefore w:val="0"/>
        <w:kinsoku/>
        <w:wordWrap/>
        <w:overflowPunct/>
        <w:topLinePunct w:val="0"/>
        <w:autoSpaceDN/>
        <w:bidi w:val="0"/>
        <w:adjustRightIn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2023年，在主流媒体上稿1082篇，中央级媒体上稿122篇(人民日报头版1篇，人民日报海外版专版1篇，央视新闻8篇，新华社23篇，人民日报8篇，人民网15篇,学习强国57篇等)。其中，《人民日报》头版宣传了雷欣书记热议进一步推动长江经济带高质量发展。中国新闻发布了《岳阳君山：洞庭明珠耀江湖》，人民日报海外版以《春风又绿君山岸》为题整版宣传君山生态环境保护工作，农民日报发布头版头条《守护好一江碧水的岳阳担当》，新华社发表了《护一江碧水 展蝶变新姿——湖南推动长江生态保护新观察》，人民网以《“与君说”让党的创新理论“飞入寻常百姓家”》为题讲述了我区打造基层理论宣讲公共品牌。CCTV-13宣传报道了君山区上岸渔民退捕转型。CCTV-13《法治在线》栏目近7分钟宣传君山公安破获洞庭湖非法捕捞水产品案，《护好一江碧水 建设精致君山》被“学习强国”评选为全国县级融媒优秀作品。</w:t>
      </w:r>
    </w:p>
    <w:p>
      <w:pPr>
        <w:keepNext w:val="0"/>
        <w:keepLines w:val="0"/>
        <w:pageBreakBefore w:val="0"/>
        <w:kinsoku/>
        <w:wordWrap/>
        <w:overflowPunct/>
        <w:topLinePunct w:val="0"/>
        <w:autoSpaceDN/>
        <w:bidi w:val="0"/>
        <w:adjustRightIn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Hans"/>
        </w:rPr>
        <w:t>在中央省市媒体推送视频</w:t>
      </w:r>
      <w:r>
        <w:rPr>
          <w:rFonts w:hint="eastAsia" w:ascii="仿宋" w:hAnsi="仿宋" w:eastAsia="仿宋" w:cs="仿宋"/>
          <w:sz w:val="32"/>
          <w:szCs w:val="32"/>
        </w:rPr>
        <w:t>48</w:t>
      </w:r>
      <w:r>
        <w:rPr>
          <w:rFonts w:hint="eastAsia" w:ascii="仿宋" w:hAnsi="仿宋" w:eastAsia="仿宋" w:cs="仿宋"/>
          <w:sz w:val="32"/>
          <w:szCs w:val="32"/>
          <w:lang w:eastAsia="zh-Hans"/>
        </w:rPr>
        <w:t>条，平台推送</w:t>
      </w:r>
      <w:r>
        <w:rPr>
          <w:rFonts w:hint="eastAsia" w:ascii="仿宋" w:hAnsi="仿宋" w:eastAsia="仿宋" w:cs="仿宋"/>
          <w:sz w:val="32"/>
          <w:szCs w:val="32"/>
        </w:rPr>
        <w:t>65</w:t>
      </w:r>
      <w:r>
        <w:rPr>
          <w:rFonts w:hint="eastAsia" w:ascii="仿宋" w:hAnsi="仿宋" w:eastAsia="仿宋" w:cs="仿宋"/>
          <w:sz w:val="32"/>
          <w:szCs w:val="32"/>
          <w:lang w:eastAsia="zh-Hans"/>
        </w:rPr>
        <w:t>条，分别比同期高</w:t>
      </w:r>
      <w:r>
        <w:rPr>
          <w:rFonts w:hint="eastAsia" w:ascii="仿宋" w:hAnsi="仿宋" w:eastAsia="仿宋" w:cs="仿宋"/>
          <w:sz w:val="32"/>
          <w:szCs w:val="32"/>
        </w:rPr>
        <w:t>56.5</w:t>
      </w:r>
      <w:r>
        <w:rPr>
          <w:rFonts w:hint="eastAsia" w:ascii="仿宋" w:hAnsi="仿宋" w:eastAsia="仿宋" w:cs="仿宋"/>
          <w:sz w:val="32"/>
          <w:szCs w:val="32"/>
          <w:lang w:eastAsia="zh-Hans"/>
        </w:rPr>
        <w:t>%、</w:t>
      </w:r>
      <w:r>
        <w:rPr>
          <w:rFonts w:hint="eastAsia" w:ascii="仿宋" w:hAnsi="仿宋" w:eastAsia="仿宋" w:cs="仿宋"/>
          <w:sz w:val="32"/>
          <w:szCs w:val="32"/>
        </w:rPr>
        <w:t>19.1</w:t>
      </w:r>
      <w:r>
        <w:rPr>
          <w:rFonts w:hint="eastAsia" w:ascii="仿宋" w:hAnsi="仿宋" w:eastAsia="仿宋" w:cs="仿宋"/>
          <w:sz w:val="32"/>
          <w:szCs w:val="32"/>
          <w:lang w:eastAsia="zh-Hans"/>
        </w:rPr>
        <w:t>%。《“湖南味”年货产销两旺迎新年》之六门闸腊味飘香；《三湘花儿开 春天等您来》之良心堡</w:t>
      </w:r>
      <w:r>
        <w:rPr>
          <w:rFonts w:hint="eastAsia" w:ascii="仿宋" w:hAnsi="仿宋" w:eastAsia="仿宋" w:cs="仿宋"/>
          <w:sz w:val="32"/>
          <w:szCs w:val="32"/>
          <w:lang w:val="en-US" w:eastAsia="zh-Hans"/>
        </w:rPr>
        <w:t>镇万亩花海美如画短视频被央视新闻采用。</w:t>
      </w:r>
    </w:p>
    <w:p>
      <w:pPr>
        <w:keepNext w:val="0"/>
        <w:keepLines w:val="0"/>
        <w:pageBreakBefore w:val="0"/>
        <w:kinsoku/>
        <w:wordWrap/>
        <w:overflowPunct/>
        <w:topLinePunct w:val="0"/>
        <w:autoSpaceDN/>
        <w:bidi w:val="0"/>
        <w:adjustRightIn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3、提高站位，落实责任，安全生产毫不懈怠</w:t>
      </w:r>
    </w:p>
    <w:p>
      <w:pPr>
        <w:keepNext w:val="0"/>
        <w:keepLines w:val="0"/>
        <w:pageBreakBefore w:val="0"/>
        <w:kinsoku/>
        <w:wordWrap/>
        <w:overflowPunct/>
        <w:topLinePunct w:val="0"/>
        <w:autoSpaceDN/>
        <w:bidi w:val="0"/>
        <w:adjustRightInd/>
        <w:spacing w:line="580" w:lineRule="exact"/>
        <w:ind w:firstLine="640" w:firstLineChars="200"/>
        <w:textAlignment w:val="auto"/>
        <w:rPr>
          <w:rFonts w:hint="eastAsia" w:ascii="仿宋" w:hAnsi="仿宋" w:eastAsia="仿宋" w:cs="仿宋"/>
          <w:color w:val="333333"/>
          <w:kern w:val="0"/>
          <w:sz w:val="32"/>
          <w:szCs w:val="32"/>
          <w:shd w:val="clear" w:color="auto" w:fill="FFFFFF"/>
          <w:lang w:bidi="ar"/>
        </w:rPr>
      </w:pPr>
      <w:r>
        <w:rPr>
          <w:rFonts w:hint="eastAsia" w:ascii="仿宋" w:hAnsi="仿宋" w:eastAsia="仿宋" w:cs="仿宋"/>
          <w:sz w:val="32"/>
          <w:szCs w:val="32"/>
          <w:lang w:val="en-US" w:eastAsia="zh-CN"/>
        </w:rPr>
        <w:t>严格落实安全播出责任制，对机房常见故障的处理、应急、消防</w:t>
      </w:r>
      <w:r>
        <w:rPr>
          <w:rFonts w:hint="eastAsia" w:ascii="仿宋" w:hAnsi="仿宋" w:eastAsia="仿宋" w:cs="仿宋"/>
          <w:color w:val="333333"/>
          <w:kern w:val="0"/>
          <w:sz w:val="32"/>
          <w:szCs w:val="32"/>
          <w:shd w:val="clear" w:color="auto" w:fill="FFFFFF"/>
          <w:lang w:bidi="ar"/>
        </w:rPr>
        <w:t>操作进行演练。在春节、国庆、二十大、“全国两会”等重点保障期前，由班子成员带队深入机房、发射台开展检查，全年实现安全播出零事故。广播村村响安排专人维护运营；新闻稿件方面，《君山在线》</w:t>
      </w:r>
      <w:r>
        <w:rPr>
          <w:rFonts w:hint="eastAsia" w:ascii="仿宋" w:hAnsi="仿宋" w:eastAsia="仿宋" w:cs="仿宋"/>
          <w:color w:val="333333"/>
          <w:kern w:val="0"/>
          <w:sz w:val="32"/>
          <w:szCs w:val="32"/>
          <w:shd w:val="clear" w:color="auto" w:fill="FFFFFF"/>
          <w:lang w:val="en-US" w:eastAsia="zh-CN" w:bidi="ar"/>
        </w:rPr>
        <w:t>公众号</w:t>
      </w:r>
      <w:r>
        <w:rPr>
          <w:rFonts w:hint="eastAsia" w:ascii="仿宋" w:hAnsi="仿宋" w:eastAsia="仿宋" w:cs="仿宋"/>
          <w:color w:val="333333"/>
          <w:kern w:val="0"/>
          <w:sz w:val="32"/>
          <w:szCs w:val="32"/>
          <w:shd w:val="clear" w:color="auto" w:fill="FFFFFF"/>
          <w:lang w:bidi="ar"/>
        </w:rPr>
        <w:t>和《君山在线》</w:t>
      </w:r>
      <w:r>
        <w:rPr>
          <w:rFonts w:hint="eastAsia" w:ascii="仿宋" w:hAnsi="仿宋" w:eastAsia="仿宋" w:cs="仿宋"/>
          <w:color w:val="333333"/>
          <w:kern w:val="0"/>
          <w:sz w:val="32"/>
          <w:szCs w:val="32"/>
          <w:shd w:val="clear" w:color="auto" w:fill="FFFFFF"/>
          <w:lang w:val="en-US" w:eastAsia="zh-CN" w:bidi="ar"/>
        </w:rPr>
        <w:t>视频号</w:t>
      </w:r>
      <w:r>
        <w:rPr>
          <w:rFonts w:hint="eastAsia" w:ascii="仿宋" w:hAnsi="仿宋" w:eastAsia="仿宋" w:cs="仿宋"/>
          <w:color w:val="333333"/>
          <w:kern w:val="0"/>
          <w:sz w:val="32"/>
          <w:szCs w:val="32"/>
          <w:shd w:val="clear" w:color="auto" w:fill="FFFFFF"/>
          <w:lang w:bidi="ar"/>
        </w:rPr>
        <w:t>两个板块，我们都制定了相应的“三审三校”制度，把握稿件正确的政治导向，确保稿件的质量安全关。</w:t>
      </w:r>
    </w:p>
    <w:p>
      <w:pPr>
        <w:keepNext w:val="0"/>
        <w:keepLines w:val="0"/>
        <w:pageBreakBefore w:val="0"/>
        <w:kinsoku/>
        <w:wordWrap/>
        <w:overflowPunct/>
        <w:topLinePunct w:val="0"/>
        <w:autoSpaceDN/>
        <w:bidi w:val="0"/>
        <w:adjustRightInd/>
        <w:spacing w:line="58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lang w:val="en-US" w:eastAsia="zh-CN"/>
        </w:rPr>
        <w:t>存在的问题及原因分析</w:t>
      </w:r>
    </w:p>
    <w:p>
      <w:pPr>
        <w:pStyle w:val="5"/>
        <w:numPr>
          <w:ilvl w:val="0"/>
          <w:numId w:val="0"/>
        </w:numPr>
        <w:ind w:firstLine="640" w:firstLineChars="200"/>
        <w:rPr>
          <w:rFonts w:hint="default" w:ascii="仿宋" w:hAnsi="仿宋" w:eastAsia="仿宋" w:cs="仿宋"/>
          <w:color w:val="333333"/>
          <w:kern w:val="0"/>
          <w:sz w:val="32"/>
          <w:szCs w:val="32"/>
          <w:shd w:val="clear" w:color="auto" w:fill="FFFFFF"/>
          <w:lang w:val="en-US" w:eastAsia="zh-CN" w:bidi="ar"/>
        </w:rPr>
      </w:pPr>
      <w:r>
        <w:rPr>
          <w:rFonts w:hint="eastAsia" w:cs="仿宋"/>
          <w:color w:val="333333"/>
          <w:kern w:val="0"/>
          <w:sz w:val="32"/>
          <w:szCs w:val="32"/>
          <w:shd w:val="clear" w:color="auto" w:fill="FFFFFF"/>
          <w:lang w:val="en-US" w:eastAsia="zh-CN" w:bidi="ar"/>
        </w:rPr>
        <w:t>1、</w:t>
      </w:r>
      <w:r>
        <w:rPr>
          <w:rFonts w:hint="default" w:ascii="仿宋" w:hAnsi="仿宋" w:eastAsia="仿宋" w:cs="仿宋"/>
          <w:color w:val="333333"/>
          <w:kern w:val="0"/>
          <w:sz w:val="32"/>
          <w:szCs w:val="32"/>
          <w:shd w:val="clear" w:color="auto" w:fill="FFFFFF"/>
          <w:lang w:val="en-US" w:eastAsia="zh-CN" w:bidi="ar"/>
        </w:rPr>
        <w:t>人员专业性不够</w:t>
      </w:r>
      <w:r>
        <w:rPr>
          <w:rFonts w:hint="eastAsia" w:ascii="仿宋" w:hAnsi="仿宋" w:eastAsia="仿宋" w:cs="仿宋"/>
          <w:color w:val="333333"/>
          <w:kern w:val="0"/>
          <w:sz w:val="32"/>
          <w:szCs w:val="32"/>
          <w:shd w:val="clear" w:color="auto" w:fill="FFFFFF"/>
          <w:lang w:val="en-US" w:eastAsia="zh-CN" w:bidi="ar"/>
        </w:rPr>
        <w:t>强</w:t>
      </w:r>
      <w:r>
        <w:rPr>
          <w:rFonts w:hint="default" w:ascii="仿宋" w:hAnsi="仿宋" w:eastAsia="仿宋" w:cs="仿宋"/>
          <w:color w:val="333333"/>
          <w:kern w:val="0"/>
          <w:sz w:val="32"/>
          <w:szCs w:val="32"/>
          <w:shd w:val="clear" w:color="auto" w:fill="FFFFFF"/>
          <w:lang w:val="en-US" w:eastAsia="zh-CN" w:bidi="ar"/>
        </w:rPr>
        <w:t>。预算绩效管理涉及</w:t>
      </w:r>
      <w:r>
        <w:rPr>
          <w:rFonts w:hint="eastAsia" w:ascii="仿宋" w:hAnsi="仿宋" w:eastAsia="仿宋" w:cs="仿宋"/>
          <w:color w:val="333333"/>
          <w:kern w:val="0"/>
          <w:sz w:val="32"/>
          <w:szCs w:val="32"/>
          <w:shd w:val="clear" w:color="auto" w:fill="FFFFFF"/>
          <w:lang w:val="en-US" w:eastAsia="zh-CN" w:bidi="ar"/>
        </w:rPr>
        <w:t>各方</w:t>
      </w:r>
      <w:r>
        <w:rPr>
          <w:rFonts w:hint="default" w:ascii="仿宋" w:hAnsi="仿宋" w:eastAsia="仿宋" w:cs="仿宋"/>
          <w:color w:val="333333"/>
          <w:kern w:val="0"/>
          <w:sz w:val="32"/>
          <w:szCs w:val="32"/>
          <w:shd w:val="clear" w:color="auto" w:fill="FFFFFF"/>
          <w:lang w:val="en-US" w:eastAsia="zh-CN" w:bidi="ar"/>
        </w:rPr>
        <w:t>，由于专业性强，绩效目标细化</w:t>
      </w:r>
      <w:r>
        <w:rPr>
          <w:rFonts w:hint="eastAsia" w:ascii="仿宋" w:hAnsi="仿宋" w:eastAsia="仿宋" w:cs="仿宋"/>
          <w:color w:val="333333"/>
          <w:kern w:val="0"/>
          <w:sz w:val="32"/>
          <w:szCs w:val="32"/>
          <w:shd w:val="clear" w:color="auto" w:fill="FFFFFF"/>
          <w:lang w:val="en-US" w:eastAsia="zh-CN" w:bidi="ar"/>
        </w:rPr>
        <w:t>、</w:t>
      </w:r>
      <w:r>
        <w:rPr>
          <w:rFonts w:hint="default" w:ascii="仿宋" w:hAnsi="仿宋" w:eastAsia="仿宋" w:cs="仿宋"/>
          <w:color w:val="333333"/>
          <w:kern w:val="0"/>
          <w:sz w:val="32"/>
          <w:szCs w:val="32"/>
          <w:shd w:val="clear" w:color="auto" w:fill="FFFFFF"/>
          <w:lang w:val="en-US" w:eastAsia="zh-CN" w:bidi="ar"/>
        </w:rPr>
        <w:t>量化不足以反映项目实绩，须加强人员的培训。</w:t>
      </w:r>
    </w:p>
    <w:p>
      <w:pPr>
        <w:pStyle w:val="13"/>
        <w:numPr>
          <w:ilvl w:val="0"/>
          <w:numId w:val="0"/>
        </w:numPr>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color w:val="333333"/>
          <w:kern w:val="0"/>
          <w:sz w:val="32"/>
          <w:szCs w:val="32"/>
          <w:shd w:val="clear" w:color="auto" w:fill="FFFFFF"/>
          <w:lang w:val="en-US" w:eastAsia="zh-CN" w:bidi="ar"/>
        </w:rPr>
        <w:t>2、在对定性指标的评价上，由于评价内容较粗，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参与评价的人员逐一评价绩效指标有难度，对评价结果把握不准</w:t>
      </w:r>
      <w:r>
        <w:rPr>
          <w:rFonts w:hint="default" w:ascii="仿宋" w:hAnsi="仿宋" w:eastAsia="仿宋" w:cs="仿宋"/>
          <w:color w:val="333333"/>
          <w:kern w:val="0"/>
          <w:sz w:val="32"/>
          <w:szCs w:val="32"/>
          <w:shd w:val="clear" w:color="auto" w:fill="FFFFFF"/>
          <w:lang w:val="en-US" w:eastAsia="zh-CN" w:bidi="ar"/>
        </w:rPr>
        <w:t>。</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10"/>
        <w:ind w:firstLine="640"/>
        <w:rPr>
          <w:rFonts w:hint="default"/>
        </w:rPr>
      </w:pPr>
      <w:r>
        <w:rPr>
          <w:rFonts w:hint="eastAsia"/>
          <w:lang w:val="en-US" w:eastAsia="zh-CN"/>
        </w:rPr>
        <w:t>1、</w:t>
      </w:r>
      <w:r>
        <w:rPr>
          <w:rFonts w:hint="default"/>
        </w:rPr>
        <w:t>细化预算编制工作，认真做好预算的编制。进一步加强单位内部的预算管理意识，严格按照预算编制的相关制度和要求进行预算编制；提高人员的业务素质与参与度。</w:t>
      </w:r>
    </w:p>
    <w:p>
      <w:pPr>
        <w:pStyle w:val="10"/>
        <w:ind w:firstLine="640"/>
        <w:rPr>
          <w:rFonts w:hint="default"/>
        </w:rPr>
      </w:pPr>
      <w:r>
        <w:rPr>
          <w:rFonts w:hint="eastAsia"/>
          <w:lang w:val="en-US" w:eastAsia="zh-CN"/>
        </w:rPr>
        <w:t>2、</w:t>
      </w:r>
      <w:r>
        <w:rPr>
          <w:rFonts w:hint="default"/>
        </w:rPr>
        <w:t>完善内部控制体系建设。针对评价过程中发现的问题和相关财经法律法规的变化，对相关制度、措施和程序进行调整、改进内部控制管理办法。</w:t>
      </w:r>
    </w:p>
    <w:p>
      <w:pPr>
        <w:pStyle w:val="11"/>
        <w:ind w:firstLine="640" w:firstLineChars="200"/>
        <w:rPr>
          <w:rFonts w:hint="eastAsia" w:eastAsia="仿宋_GB2312"/>
          <w:lang w:val="en-US" w:eastAsia="zh-CN"/>
        </w:rPr>
      </w:pPr>
      <w:r>
        <w:rPr>
          <w:rFonts w:hint="eastAsia"/>
          <w:lang w:val="en-US" w:eastAsia="zh-CN"/>
        </w:rPr>
        <w:t>3、绩效评价工作我们将根据定性指标的内容设置一些具体明细的项目进行部门之间互评，以使定性指标的评议更客观和具参考价值。</w:t>
      </w:r>
    </w:p>
    <w:p>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9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8.86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2.80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80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145.38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504.47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504.47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419.34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153.15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153.15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26.21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102.34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102.34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5.63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1.50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145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73</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576.36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576.36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fixed"/>
        <w:tblCellMar>
          <w:top w:w="0" w:type="dxa"/>
          <w:left w:w="108" w:type="dxa"/>
          <w:bottom w:w="0" w:type="dxa"/>
          <w:right w:w="108" w:type="dxa"/>
        </w:tblCellMar>
      </w:tblPr>
      <w:tblGrid>
        <w:gridCol w:w="1080"/>
        <w:gridCol w:w="1080"/>
        <w:gridCol w:w="1034"/>
        <w:gridCol w:w="1614"/>
        <w:gridCol w:w="1470"/>
        <w:gridCol w:w="1395"/>
        <w:gridCol w:w="630"/>
        <w:gridCol w:w="720"/>
        <w:gridCol w:w="1056"/>
      </w:tblGrid>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岳阳市君山区融媒体中心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61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9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3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5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14"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461.34</w:t>
            </w:r>
          </w:p>
        </w:tc>
        <w:tc>
          <w:tcPr>
            <w:tcW w:w="14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1080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83</w:t>
            </w:r>
          </w:p>
        </w:tc>
        <w:tc>
          <w:tcPr>
            <w:tcW w:w="139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1080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83</w:t>
            </w:r>
          </w:p>
        </w:tc>
        <w:tc>
          <w:tcPr>
            <w:tcW w:w="63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2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05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9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0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9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1080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83</w:t>
            </w:r>
          </w:p>
        </w:tc>
        <w:tc>
          <w:tcPr>
            <w:tcW w:w="380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576.36</w:t>
            </w:r>
          </w:p>
        </w:tc>
      </w:tr>
      <w:tr>
        <w:tblPrEx>
          <w:tblCellMar>
            <w:top w:w="0" w:type="dxa"/>
            <w:left w:w="108" w:type="dxa"/>
            <w:bottom w:w="0" w:type="dxa"/>
            <w:right w:w="108" w:type="dxa"/>
          </w:tblCellMar>
        </w:tblPrEx>
        <w:trPr>
          <w:trHeight w:val="235"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98"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801"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lang w:val="en-US" w:eastAsia="zh-CN"/>
              </w:rPr>
              <w:t>504.47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98"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0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98"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801"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98"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0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0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98" w:type="dxa"/>
            <w:gridSpan w:val="4"/>
            <w:tcBorders>
              <w:top w:val="single" w:color="auto" w:sz="4" w:space="0"/>
              <w:left w:val="nil"/>
              <w:bottom w:val="single" w:color="auto" w:sz="4" w:space="0"/>
              <w:right w:val="single" w:color="000000" w:sz="4" w:space="0"/>
            </w:tcBorders>
            <w:noWrap w:val="0"/>
            <w:vAlign w:val="top"/>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w:t>
            </w:r>
            <w:r>
              <w:rPr>
                <w:rFonts w:hint="eastAsia" w:ascii="仿宋_GB2312" w:hAnsi="仿宋_GB2312" w:eastAsia="仿宋_GB2312" w:cs="仿宋_GB2312"/>
                <w:color w:val="000000"/>
                <w:kern w:val="0"/>
                <w:sz w:val="20"/>
                <w:szCs w:val="20"/>
                <w:highlight w:val="none"/>
                <w:lang w:val="en-US" w:eastAsia="zh-CN" w:bidi="ar-SA"/>
              </w:rPr>
              <w:t>瞄准</w:t>
            </w:r>
            <w:r>
              <w:rPr>
                <w:rFonts w:hint="eastAsia" w:ascii="仿宋_GB2312" w:hAnsi="仿宋_GB2312" w:eastAsia="仿宋_GB2312" w:cs="仿宋_GB2312"/>
                <w:color w:val="000000"/>
                <w:sz w:val="20"/>
                <w:szCs w:val="20"/>
                <w:highlight w:val="none"/>
                <w:lang w:val="en-US" w:eastAsia="zh-CN"/>
              </w:rPr>
              <w:t>职能职责，</w:t>
            </w:r>
            <w:r>
              <w:rPr>
                <w:rFonts w:hint="eastAsia" w:ascii="仿宋_GB2312" w:hAnsi="仿宋_GB2312" w:eastAsia="仿宋_GB2312" w:cs="仿宋_GB2312"/>
                <w:color w:val="000000"/>
                <w:kern w:val="0"/>
                <w:sz w:val="20"/>
                <w:szCs w:val="20"/>
                <w:highlight w:val="none"/>
                <w:lang w:val="en-US" w:eastAsia="zh-CN" w:bidi="ar-SA"/>
              </w:rPr>
              <w:t>紧紧围绕区委、区政府安排部署和全区工作大局，着力开展对内、对外宣传，弘扬主旋律，传播正能量，讲君山故事，树君山形象，传播君山声音，圆满</w:t>
            </w:r>
            <w:r>
              <w:rPr>
                <w:rFonts w:hint="eastAsia" w:ascii="仿宋_GB2312" w:hAnsi="仿宋_GB2312" w:eastAsia="仿宋_GB2312" w:cs="仿宋_GB2312"/>
                <w:color w:val="000000"/>
                <w:sz w:val="20"/>
                <w:szCs w:val="20"/>
                <w:highlight w:val="none"/>
                <w:lang w:val="en-US" w:eastAsia="zh-CN"/>
              </w:rPr>
              <w:t>完成各项工作任务。</w:t>
            </w:r>
          </w:p>
        </w:tc>
        <w:tc>
          <w:tcPr>
            <w:tcW w:w="3801" w:type="dxa"/>
            <w:gridSpan w:val="4"/>
            <w:tcBorders>
              <w:top w:val="single" w:color="auto" w:sz="4" w:space="0"/>
              <w:left w:val="nil"/>
              <w:bottom w:val="single" w:color="auto" w:sz="4" w:space="0"/>
              <w:right w:val="single" w:color="auto" w:sz="4" w:space="0"/>
            </w:tcBorders>
            <w:noWrap w:val="0"/>
            <w:vAlign w:val="top"/>
          </w:tcPr>
          <w:p>
            <w:pPr>
              <w:pStyle w:val="5"/>
              <w:bidi w:val="0"/>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着力开展对内、对外宣传，弘扬主旋律，传播正能量，讲好君山故事，树好君山形象，传播君山声音，为全区经济社会发展和宣传思想工作贡献了融媒力量。</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95"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利用微信公众号《君山在线》编发稿件</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1500篇、条</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1600篇、条</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3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在省市媒体播出视频、文稿</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1000篇</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1082篇</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主流媒体播出稿件增长率</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56%</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电视、广播播出正点率</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1080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83</w:t>
            </w:r>
            <w:r>
              <w:rPr>
                <w:rFonts w:hint="eastAsia" w:ascii="仿宋_GB2312" w:hAnsi="仿宋_GB2312" w:eastAsia="仿宋_GB2312" w:cs="仿宋_GB2312"/>
                <w:color w:val="000000"/>
                <w:sz w:val="20"/>
                <w:szCs w:val="20"/>
                <w:highlight w:val="none"/>
                <w:lang w:val="en-US" w:eastAsia="zh-CN"/>
              </w:rPr>
              <w:t>万元</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1080</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83</w:t>
            </w:r>
            <w:r>
              <w:rPr>
                <w:rFonts w:hint="eastAsia" w:ascii="仿宋_GB2312" w:hAnsi="仿宋_GB2312" w:eastAsia="仿宋_GB2312" w:cs="仿宋_GB2312"/>
                <w:color w:val="000000"/>
                <w:sz w:val="20"/>
                <w:szCs w:val="20"/>
                <w:highlight w:val="none"/>
                <w:lang w:val="en-US" w:eastAsia="zh-CN"/>
              </w:rPr>
              <w:t>万元</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助推君山经济发展</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助推君山</w:t>
            </w:r>
            <w:r>
              <w:rPr>
                <w:rFonts w:hint="eastAsia" w:ascii="仿宋_GB2312" w:hAnsi="仿宋_GB2312" w:eastAsia="仿宋_GB2312" w:cs="仿宋_GB2312"/>
                <w:color w:val="000000"/>
                <w:sz w:val="20"/>
                <w:szCs w:val="20"/>
                <w:highlight w:val="none"/>
                <w:lang w:eastAsia="zh-CN"/>
              </w:rPr>
              <w:t>社会和谐稳定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highlight w:val="none"/>
                <w:lang w:val="en-US" w:eastAsia="zh-CN" w:bidi="ar-SA"/>
              </w:rPr>
              <w:t>引导树立生态环保意识</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持续助推君山经济发展，社会和谐稳定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6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0" w:hRule="atLeast"/>
          <w:jc w:val="center"/>
        </w:trPr>
        <w:tc>
          <w:tcPr>
            <w:tcW w:w="767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05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pStyle w:val="5"/>
        <w:rPr>
          <w:rFonts w:hint="default" w:ascii="Times New Roman" w:hAnsi="Times New Roman" w:eastAsia="仿宋_GB2312" w:cs="Times New Roman"/>
          <w:sz w:val="22"/>
          <w:szCs w:val="22"/>
          <w:highlight w:val="none"/>
        </w:rPr>
      </w:pPr>
    </w:p>
    <w:p>
      <w:pPr>
        <w:pStyle w:val="6"/>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58"/>
        <w:gridCol w:w="1065"/>
        <w:gridCol w:w="1053"/>
        <w:gridCol w:w="1196"/>
        <w:gridCol w:w="1216"/>
        <w:gridCol w:w="1216"/>
        <w:gridCol w:w="814"/>
        <w:gridCol w:w="861"/>
        <w:gridCol w:w="1372"/>
      </w:tblGrid>
      <w:tr>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融媒体专项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岳阳市君山区融媒体中心</w:t>
            </w:r>
          </w:p>
        </w:tc>
        <w:tc>
          <w:tcPr>
            <w:tcW w:w="121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岳阳市君山区融媒体中心</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78</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把握正确舆论导向，弘扬主旋律，传播正能量，不断提高党的新闻舆论传播力、引导力、影响力和公信力，在“传递党的声音、引领社会舆论、反映社情民意”上作出了新的贡献</w:t>
            </w:r>
            <w:r>
              <w:rPr>
                <w:rFonts w:hint="eastAsia" w:ascii="仿宋_GB2312" w:hAnsi="仿宋_GB2312" w:eastAsia="仿宋_GB2312" w:cs="仿宋_GB2312"/>
                <w:color w:val="000000"/>
                <w:sz w:val="20"/>
                <w:szCs w:val="20"/>
                <w:highlight w:val="none"/>
              </w:rPr>
              <w:t>　</w:t>
            </w:r>
          </w:p>
        </w:tc>
        <w:tc>
          <w:tcPr>
            <w:tcW w:w="426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微信公众号《君山在线》编发稿件295档1550篇。电视新闻《君山新闻》96档，播发稿件765条；在主流媒体上稿1082篇，中央级媒体上稿122篇，央视新闻8篇，新华社23篇，人民日报8篇，人民网15篇,学习强国57篇等)。</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区内平台原创作品</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≥600篇</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出稿件数量</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≥400篇</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SA"/>
              </w:rPr>
            </w:pPr>
            <w:r>
              <w:rPr>
                <w:rFonts w:hint="eastAsia" w:ascii="仿宋_GB2312" w:hAnsi="仿宋_GB2312" w:eastAsia="仿宋_GB2312" w:cs="仿宋_GB2312"/>
                <w:color w:val="000000"/>
                <w:sz w:val="20"/>
                <w:szCs w:val="20"/>
                <w:highlight w:val="none"/>
                <w:lang w:val="en-US" w:eastAsia="zh-CN"/>
              </w:rPr>
              <w:t>提升市级以上媒体稿率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安全播出率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年度各项任务完成期限</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预算控制率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推动经济高质量发展</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44" w:hRule="atLeast"/>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君山的对外影响力</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有效增强</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有效增强</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节约水电</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有效减少</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有效减少</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不适用</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不适用</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pStyle w:val="13"/>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sectPr>
      <w:pgSz w:w="11906" w:h="16838"/>
      <w:pgMar w:top="1157" w:right="1800" w:bottom="110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7F0490DB"/>
    <w:multiLevelType w:val="singleLevel"/>
    <w:tmpl w:val="7F0490DB"/>
    <w:lvl w:ilvl="0" w:tentative="0">
      <w:start w:val="1"/>
      <w:numFmt w:val="chineseCounting"/>
      <w:suff w:val="nothing"/>
      <w:lvlText w:val="%1、"/>
      <w:lvlJc w:val="left"/>
      <w:rPr>
        <w:rFonts w:hint="eastAsia"/>
      </w:rPr>
    </w:lvl>
  </w:abstractNum>
  <w:abstractNum w:abstractNumId="4">
    <w:nsid w:val="7F66692C"/>
    <w:multiLevelType w:val="singleLevel"/>
    <w:tmpl w:val="7F66692C"/>
    <w:lvl w:ilvl="0" w:tentative="0">
      <w:start w:val="3"/>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59886344"/>
    <w:rsid w:val="0061443A"/>
    <w:rsid w:val="00F57038"/>
    <w:rsid w:val="01503613"/>
    <w:rsid w:val="017B2F92"/>
    <w:rsid w:val="01D9415D"/>
    <w:rsid w:val="030D799C"/>
    <w:rsid w:val="03585F5D"/>
    <w:rsid w:val="0368705F"/>
    <w:rsid w:val="03802AE2"/>
    <w:rsid w:val="03E40645"/>
    <w:rsid w:val="04CE0236"/>
    <w:rsid w:val="04D400B0"/>
    <w:rsid w:val="05F16DA0"/>
    <w:rsid w:val="066F629C"/>
    <w:rsid w:val="067D155B"/>
    <w:rsid w:val="090F1B9E"/>
    <w:rsid w:val="0A2207B4"/>
    <w:rsid w:val="0A370316"/>
    <w:rsid w:val="0AA06D1F"/>
    <w:rsid w:val="0B00275A"/>
    <w:rsid w:val="0B521208"/>
    <w:rsid w:val="0BD0037E"/>
    <w:rsid w:val="0BD07CC1"/>
    <w:rsid w:val="0D5C4B51"/>
    <w:rsid w:val="0E204604"/>
    <w:rsid w:val="0EDA5FD7"/>
    <w:rsid w:val="0F8C6CB2"/>
    <w:rsid w:val="0FC41FA8"/>
    <w:rsid w:val="101C4A61"/>
    <w:rsid w:val="104073FF"/>
    <w:rsid w:val="10833C11"/>
    <w:rsid w:val="109B2A18"/>
    <w:rsid w:val="1374513B"/>
    <w:rsid w:val="13A7116F"/>
    <w:rsid w:val="13DA2702"/>
    <w:rsid w:val="1405311A"/>
    <w:rsid w:val="14D83E24"/>
    <w:rsid w:val="15023C9F"/>
    <w:rsid w:val="15347BD0"/>
    <w:rsid w:val="16405DDD"/>
    <w:rsid w:val="172B2124"/>
    <w:rsid w:val="18096877"/>
    <w:rsid w:val="185244D9"/>
    <w:rsid w:val="187D53EA"/>
    <w:rsid w:val="1949535F"/>
    <w:rsid w:val="19514982"/>
    <w:rsid w:val="198A7D37"/>
    <w:rsid w:val="1A0A7151"/>
    <w:rsid w:val="1B350424"/>
    <w:rsid w:val="1BFE6842"/>
    <w:rsid w:val="1C5D1C7C"/>
    <w:rsid w:val="1C8C02F2"/>
    <w:rsid w:val="1CA92FCC"/>
    <w:rsid w:val="1D322C47"/>
    <w:rsid w:val="1D7602A9"/>
    <w:rsid w:val="1DD737EE"/>
    <w:rsid w:val="1E284F2F"/>
    <w:rsid w:val="1ECA401E"/>
    <w:rsid w:val="1F1B636D"/>
    <w:rsid w:val="1FE411A4"/>
    <w:rsid w:val="20717F2A"/>
    <w:rsid w:val="216B6728"/>
    <w:rsid w:val="21B05964"/>
    <w:rsid w:val="221C28E6"/>
    <w:rsid w:val="23773744"/>
    <w:rsid w:val="239C52BE"/>
    <w:rsid w:val="24723844"/>
    <w:rsid w:val="24BE2C1C"/>
    <w:rsid w:val="24D26ABE"/>
    <w:rsid w:val="266E2C43"/>
    <w:rsid w:val="27337CE7"/>
    <w:rsid w:val="27CB7F20"/>
    <w:rsid w:val="280B045C"/>
    <w:rsid w:val="2852419D"/>
    <w:rsid w:val="286E270D"/>
    <w:rsid w:val="292C7FA1"/>
    <w:rsid w:val="294217CD"/>
    <w:rsid w:val="29F34B17"/>
    <w:rsid w:val="2A450AA9"/>
    <w:rsid w:val="2AD22CCB"/>
    <w:rsid w:val="2B0F3E96"/>
    <w:rsid w:val="2BAA0E41"/>
    <w:rsid w:val="2CD63174"/>
    <w:rsid w:val="2D096669"/>
    <w:rsid w:val="2D410C84"/>
    <w:rsid w:val="2D955755"/>
    <w:rsid w:val="2DA07759"/>
    <w:rsid w:val="2E920B6E"/>
    <w:rsid w:val="2F2045CC"/>
    <w:rsid w:val="2F3C3B38"/>
    <w:rsid w:val="2F4255B1"/>
    <w:rsid w:val="2FE26615"/>
    <w:rsid w:val="311A21F3"/>
    <w:rsid w:val="320B53DF"/>
    <w:rsid w:val="321D3FE2"/>
    <w:rsid w:val="325012EC"/>
    <w:rsid w:val="32673C7A"/>
    <w:rsid w:val="32C548F8"/>
    <w:rsid w:val="33054767"/>
    <w:rsid w:val="33076B3D"/>
    <w:rsid w:val="348006AC"/>
    <w:rsid w:val="34922583"/>
    <w:rsid w:val="366B1286"/>
    <w:rsid w:val="366F73E5"/>
    <w:rsid w:val="38371F7A"/>
    <w:rsid w:val="388F4FD2"/>
    <w:rsid w:val="38C118F0"/>
    <w:rsid w:val="398C14F0"/>
    <w:rsid w:val="3B0532F1"/>
    <w:rsid w:val="3B23785C"/>
    <w:rsid w:val="3B3F2CA7"/>
    <w:rsid w:val="3C156456"/>
    <w:rsid w:val="3C6E4EC6"/>
    <w:rsid w:val="3CF73497"/>
    <w:rsid w:val="3D070645"/>
    <w:rsid w:val="3D8366DF"/>
    <w:rsid w:val="3F510692"/>
    <w:rsid w:val="417E2710"/>
    <w:rsid w:val="42182D4E"/>
    <w:rsid w:val="43B151C2"/>
    <w:rsid w:val="4441183E"/>
    <w:rsid w:val="44454FB5"/>
    <w:rsid w:val="445265DF"/>
    <w:rsid w:val="458D5615"/>
    <w:rsid w:val="46047D7A"/>
    <w:rsid w:val="47F62B74"/>
    <w:rsid w:val="4829354E"/>
    <w:rsid w:val="497F0684"/>
    <w:rsid w:val="49A50F0B"/>
    <w:rsid w:val="49B20472"/>
    <w:rsid w:val="49C65963"/>
    <w:rsid w:val="49FF2520"/>
    <w:rsid w:val="4A747320"/>
    <w:rsid w:val="4B9C166F"/>
    <w:rsid w:val="4BC4555C"/>
    <w:rsid w:val="4C115F9A"/>
    <w:rsid w:val="4C404189"/>
    <w:rsid w:val="4D50664E"/>
    <w:rsid w:val="4DFC5504"/>
    <w:rsid w:val="4E5270C6"/>
    <w:rsid w:val="4E8D612D"/>
    <w:rsid w:val="4E982E89"/>
    <w:rsid w:val="50977DE0"/>
    <w:rsid w:val="50D256ED"/>
    <w:rsid w:val="52120376"/>
    <w:rsid w:val="532F4F57"/>
    <w:rsid w:val="540612DD"/>
    <w:rsid w:val="55BD39D6"/>
    <w:rsid w:val="55D5399C"/>
    <w:rsid w:val="562B7AC3"/>
    <w:rsid w:val="56EE3E47"/>
    <w:rsid w:val="57835AA2"/>
    <w:rsid w:val="58AB2F72"/>
    <w:rsid w:val="590F533F"/>
    <w:rsid w:val="59886344"/>
    <w:rsid w:val="59B23BCA"/>
    <w:rsid w:val="59BB0154"/>
    <w:rsid w:val="5A191862"/>
    <w:rsid w:val="5A252C10"/>
    <w:rsid w:val="5AB42592"/>
    <w:rsid w:val="5B6360E6"/>
    <w:rsid w:val="5B950730"/>
    <w:rsid w:val="5BEF1728"/>
    <w:rsid w:val="5C1263A3"/>
    <w:rsid w:val="5CFC0533"/>
    <w:rsid w:val="5DBE7604"/>
    <w:rsid w:val="5E1C257C"/>
    <w:rsid w:val="5E654F3A"/>
    <w:rsid w:val="5EDA5A29"/>
    <w:rsid w:val="5EE144F9"/>
    <w:rsid w:val="5F176057"/>
    <w:rsid w:val="61DB2164"/>
    <w:rsid w:val="62AA52B7"/>
    <w:rsid w:val="62D378CB"/>
    <w:rsid w:val="63202106"/>
    <w:rsid w:val="6489511A"/>
    <w:rsid w:val="64CF6C8F"/>
    <w:rsid w:val="65E9368C"/>
    <w:rsid w:val="674F6FAE"/>
    <w:rsid w:val="68DD5D2B"/>
    <w:rsid w:val="6B4F2A52"/>
    <w:rsid w:val="6B99345E"/>
    <w:rsid w:val="6C150D37"/>
    <w:rsid w:val="6C303DC2"/>
    <w:rsid w:val="6CA97D11"/>
    <w:rsid w:val="6D583CB5"/>
    <w:rsid w:val="6E705326"/>
    <w:rsid w:val="6EB77ED8"/>
    <w:rsid w:val="6EBC4974"/>
    <w:rsid w:val="70F133F4"/>
    <w:rsid w:val="70FC4273"/>
    <w:rsid w:val="73102258"/>
    <w:rsid w:val="739C3AEB"/>
    <w:rsid w:val="754D60ED"/>
    <w:rsid w:val="758D6016"/>
    <w:rsid w:val="75E0022C"/>
    <w:rsid w:val="767D7DFF"/>
    <w:rsid w:val="76BA0E56"/>
    <w:rsid w:val="76CB43C5"/>
    <w:rsid w:val="7728263E"/>
    <w:rsid w:val="777C5234"/>
    <w:rsid w:val="79607369"/>
    <w:rsid w:val="7A007183"/>
    <w:rsid w:val="7A3D1979"/>
    <w:rsid w:val="7A5614FA"/>
    <w:rsid w:val="7AC54827"/>
    <w:rsid w:val="7B2D6463"/>
    <w:rsid w:val="7BB06FFF"/>
    <w:rsid w:val="7BDF310F"/>
    <w:rsid w:val="7C693ABC"/>
    <w:rsid w:val="7C9150AE"/>
    <w:rsid w:val="7E4E7DE0"/>
    <w:rsid w:val="7F1475F2"/>
    <w:rsid w:val="7F2A13E6"/>
    <w:rsid w:val="7F343489"/>
    <w:rsid w:val="7FBD5515"/>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Salutation"/>
    <w:basedOn w:val="1"/>
    <w:next w:val="1"/>
    <w:qFormat/>
    <w:uiPriority w:val="0"/>
    <w:rPr>
      <w:rFonts w:ascii="Times New Roman" w:hAnsi="Times New Roman" w:cs="Times New Roman"/>
    </w:rPr>
  </w:style>
  <w:style w:type="paragraph" w:styleId="5">
    <w:name w:val="Body Text"/>
    <w:basedOn w:val="1"/>
    <w:next w:val="6"/>
    <w:link w:val="15"/>
    <w:qFormat/>
    <w:uiPriority w:val="0"/>
    <w:rPr>
      <w:rFonts w:ascii="仿宋" w:hAnsi="仿宋" w:eastAsia="仿宋" w:cs="仿宋"/>
      <w:sz w:val="31"/>
      <w:szCs w:val="31"/>
      <w:lang w:val="en-US" w:eastAsia="en-US" w:bidi="ar-SA"/>
    </w:rPr>
  </w:style>
  <w:style w:type="paragraph" w:styleId="6">
    <w:name w:val="toc 5"/>
    <w:basedOn w:val="1"/>
    <w:next w:val="1"/>
    <w:qFormat/>
    <w:uiPriority w:val="99"/>
    <w:pPr>
      <w:ind w:left="1680" w:leftChars="8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BodyText"/>
    <w:basedOn w:val="1"/>
    <w:next w:val="11"/>
    <w:qFormat/>
    <w:uiPriority w:val="0"/>
    <w:pPr>
      <w:textAlignment w:val="baseline"/>
    </w:pPr>
    <w:rPr>
      <w:rFonts w:ascii="仿宋_GB2312" w:hAnsi="仿宋_GB2312" w:eastAsia="仿宋_GB2312"/>
      <w:sz w:val="32"/>
      <w:szCs w:val="32"/>
      <w:lang w:val="zh-CN" w:bidi="zh-CN"/>
    </w:rPr>
  </w:style>
  <w:style w:type="paragraph" w:customStyle="1" w:styleId="11">
    <w:name w:val="BodyText1I"/>
    <w:basedOn w:val="10"/>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rPr>
      <w:rFonts w:ascii="Calibri" w:hAnsi="Calibri"/>
      <w:szCs w:val="22"/>
    </w:rPr>
  </w:style>
  <w:style w:type="paragraph" w:customStyle="1" w:styleId="14">
    <w:name w:val="样式 标题 3"/>
    <w:qFormat/>
    <w:uiPriority w:val="99"/>
    <w:pPr>
      <w:keepNext/>
      <w:keepLines/>
      <w:widowControl w:val="0"/>
      <w:jc w:val="center"/>
      <w:outlineLvl w:val="2"/>
    </w:pPr>
    <w:rPr>
      <w:rFonts w:ascii="文鼎小标宋简" w:hAnsi="Times New Roman" w:eastAsia="文鼎小标宋简" w:cs="Times New Roman"/>
      <w:kern w:val="2"/>
      <w:sz w:val="44"/>
      <w:szCs w:val="22"/>
      <w:lang w:val="en-US" w:eastAsia="zh-CN" w:bidi="ar-SA"/>
    </w:rPr>
  </w:style>
  <w:style w:type="character" w:customStyle="1" w:styleId="15">
    <w:name w:val="正文文本 Char"/>
    <w:link w:val="5"/>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4750</Words>
  <Characters>5126</Characters>
  <Lines>0</Lines>
  <Paragraphs>0</Paragraphs>
  <TotalTime>4</TotalTime>
  <ScaleCrop>false</ScaleCrop>
  <LinksUpToDate>false</LinksUpToDate>
  <CharactersWithSpaces>5327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Mr.1.689小姐</cp:lastModifiedBy>
  <dcterms:modified xsi:type="dcterms:W3CDTF">2024-07-05T09:11:05Z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12C804FB5DC74582993175EDEB038DA2_13</vt:lpwstr>
  </property>
</Properties>
</file>