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岳阳市君山区司法局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岳阳市君山区司法局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（单位）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　</w:t>
      </w: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（一）单位基本情况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岳阳市君山区司法局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（以下简称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区司法局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是区政府工作部门，为正科级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其主要职责为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1、贯彻执行中央和省、市制定的有关司法行政工作的方针、政策、法律、法规和规章，编制全区司法行政工作中长期规划、年度计划并组织实施。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2、承担全面依法治区重大问题的政策研究；协调有关方面提出全面依法治区中长期规划建议；负责有关重大决策部署督查工作。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承担区政府法律顾问工作；对区政府重大行政决策进行合法性审查或论证说明；负责对政府合同订立工作进行监督和指导；负责政府重大合同订立之前的合法性审查；指导和监督全区行政复议、行政赔偿和行政应诉工作；承办区政府为行政复议机关和政府为被申请人的行政复议案件，承担区政府行政复议办公室日常工作；代理区政府的行政应诉事项，办理区政府为赔偿义务机关的行政赔偿案件；负责区政府法制信息工作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4、指导全区规范性文件管理有关工作； 承担区政府规范性文件送审稿的合法性审查工作；承办区政府及其部门规范性文件的统一登记、统一编号、统一公布工作；报送备案区政府规范性文件；组织开展区政府规范性文件清理工作；受理有关规范性文件审查申请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承担统筹推进法治政府建设工作；指导、监督区政府各部门依法行政工作；负责综合协调行政执法，推进行政执法体制改革有关工作，严格规范公正文明执法；承办全区行政执法人员执法资格考试，负责行政执法证件监管工作；负责对全区行政机关依法行政知识培训进行业务指导；负责全区政府法制工作人员的业务培训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承担统筹规划全区法治社会建设工作；负责拟订法治宣传教育规划，组织实施普法宣传工作；推动人民参与和促进法治建设；指导依法治理和法治创建工作；参与社会治安综合治理工作；指导人民调解工作和人民陪审员、人民监督员选任和管理工作；推进基层司法所建设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7、指导、管理社区矫正工作；指导刑满释放人员安置帮教工作；指导、支持和协助全区社区戒毒社区康复工作。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8、拟订公共法律服务体系建设规划并指导实施，统筹和布局城乡、区域公共法律服务资源；指导、监督律师、法律援助、司法鉴定、仲裁和基层法律服务管理工作。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9、负责全区司法行政系统财务计划以及服装、警车管理工作；指导和监督本系统财务、装备、设施、场所等保障工作；负责全区司法行政系统信息化建设工作。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10、规划、协调、指导法治人才队伍建设相关工作；指导、监督本系统党的建设和队伍建设。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11、完成区委、区政府交办的其他任务。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（二）机构设置与人员情况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区司法局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内设机构5个，分别为：办公室、文件管理与监督股、行政复议和应诉股、社区矫正股、普法和促进法治股。事业单位：君山区公共法律服务中心，下辖五个司法所。  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年末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有人员27人，其中：在职人员24人，离退休人员3人。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单位绩效目标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整体支出绩效目标：积极推行预算绩效管理，强化对资金使用情况的预算约束和监督，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提高财政资金使用绩效，促进管理效能提升。全年瞄准部门职责，在</w:t>
      </w:r>
      <w:r>
        <w:rPr>
          <w:rFonts w:hint="eastAsia" w:ascii="仿宋_GB2312" w:hAnsi="仿宋" w:eastAsia="仿宋_GB2312" w:cs="黑体"/>
          <w:sz w:val="32"/>
          <w:szCs w:val="32"/>
          <w:u w:val="none"/>
          <w:lang w:eastAsia="zh-CN"/>
        </w:rPr>
        <w:t>区委、区政府的坚强领导和市局指导下，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积极推进法律惠民工程，抓实人民调解工作，管好社区矫正对象，抓好安置帮教对象，持续加强依法行政，圆满完成了全</w:t>
      </w:r>
      <w:r>
        <w:rPr>
          <w:rFonts w:hint="eastAsia" w:ascii="仿宋_GB2312" w:eastAsia="仿宋_GB2312" w:cs="黑体"/>
          <w:sz w:val="32"/>
          <w:szCs w:val="32"/>
          <w:u w:val="none"/>
          <w:lang w:eastAsia="zh-CN"/>
        </w:rPr>
        <w:t>年目标任务。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eastAsia="仿宋_GB2312" w:cs="黑体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黑体"/>
          <w:sz w:val="32"/>
          <w:szCs w:val="32"/>
          <w:u w:val="none"/>
          <w:lang w:val="en-US" w:eastAsia="zh-CN"/>
        </w:rPr>
        <w:t>项目支出绩效目标：增强法治宣传教育，提升法律服务项目多样化，提高特殊群体管控率。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预算资金654.29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其中：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403.94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项目支出250.35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。全年实际支出654.29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其中：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403.94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项目支出250.35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。预算执行率100%。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区司法局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403.94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万元，其中人员经费350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33万元，公用经费53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区司法局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项目支出250.35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。主要是本部门为完成特定工作任务或事业发展目标而发生的支出，包括有关事业发展专项、专项业务费、基本建设支出等，全部为业务工作经费项目支出。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区司法局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区司法局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区司法局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，区司法局严格执行预算，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财务管理规范，各项工作任务全面完成，单位行政运行稳定有序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部门整体支出绩效自评得分98分。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预算财务管理方面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，区司法局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严格遵守各项规章制度，严格执行经费审批制度、报销程序，加强了经费支出的监督管理；坚持经费预算科学化、精细化，执行控制规范化、责任化，监督检查常态化、同步化；资金使用没有截留、挪用、虚列支出、随意借用等情况；重大财务事项经由集体研究决策；专项资金做到专款专用；原始凭证的取得真实有效。部门预决算信息按规定内容，在规定的时限内予以公开。基础数据信息和会计信息资料真实、完整、准确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（二）履职产出效益方面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，区司法局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认真履行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部门职责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履职情况如下：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26" w:rightChars="-45" w:firstLine="643" w:firstLineChars="200"/>
        <w:textAlignment w:val="auto"/>
        <w:rPr>
          <w:rFonts w:hint="eastAsia" w:ascii="仿宋_GB2312" w:hAnsi="仿宋" w:eastAsia="仿宋_GB2312" w:cs="黑体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黑体"/>
          <w:b/>
          <w:bCs/>
          <w:color w:val="00000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" w:eastAsia="仿宋_GB2312" w:cs="黑体"/>
          <w:b/>
          <w:bCs/>
          <w:color w:val="000000"/>
          <w:sz w:val="32"/>
          <w:szCs w:val="32"/>
          <w:u w:val="none"/>
          <w:lang w:eastAsia="zh-CN"/>
        </w:rPr>
        <w:t>积极推进法律惠民工程。</w:t>
      </w:r>
      <w:r>
        <w:rPr>
          <w:rFonts w:hint="eastAsia" w:ascii="仿宋_GB2312" w:hAnsi="仿宋" w:eastAsia="仿宋_GB2312" w:cs="黑体"/>
          <w:color w:val="000000"/>
          <w:sz w:val="32"/>
          <w:szCs w:val="32"/>
          <w:u w:val="none"/>
          <w:lang w:val="en-US" w:eastAsia="zh-CN"/>
        </w:rPr>
        <w:t>积极推动法律顾问选聘工作，</w:t>
      </w:r>
      <w:r>
        <w:rPr>
          <w:rFonts w:hint="eastAsia" w:ascii="仿宋_GB2312" w:hAnsi="仿宋" w:eastAsia="仿宋_GB2312" w:cs="黑体"/>
          <w:color w:val="000000"/>
          <w:sz w:val="32"/>
          <w:szCs w:val="32"/>
          <w:u w:val="none"/>
          <w:lang w:eastAsia="zh-CN"/>
        </w:rPr>
        <w:t>实现区直各单位、各镇（街道）、所有村（社区）法律顾问全覆盖。岳州（君山）分所已于</w:t>
      </w:r>
      <w:r>
        <w:rPr>
          <w:rFonts w:hint="eastAsia" w:ascii="仿宋_GB2312" w:hAnsi="仿宋" w:eastAsia="仿宋_GB2312" w:cs="黑体"/>
          <w:color w:val="000000"/>
          <w:sz w:val="32"/>
          <w:szCs w:val="32"/>
          <w:u w:val="none"/>
          <w:lang w:val="en-US" w:eastAsia="zh-CN"/>
        </w:rPr>
        <w:t>6月16日正式挂牌成立，实现君山区律所“零的突破”。推进我区人民陪审员选任工作。</w:t>
      </w:r>
      <w:r>
        <w:rPr>
          <w:rFonts w:hint="eastAsia" w:ascii="仿宋_GB2312" w:hAnsi="仿宋" w:eastAsia="仿宋_GB2312" w:cs="黑体"/>
          <w:color w:val="000000"/>
          <w:sz w:val="32"/>
          <w:szCs w:val="32"/>
          <w:u w:val="none"/>
          <w:lang w:eastAsia="zh-CN"/>
        </w:rPr>
        <w:t>完成</w:t>
      </w:r>
      <w:r>
        <w:rPr>
          <w:rFonts w:hint="eastAsia" w:ascii="仿宋_GB2312" w:hAnsi="仿宋" w:eastAsia="仿宋_GB2312" w:cs="黑体"/>
          <w:color w:val="000000"/>
          <w:sz w:val="32"/>
          <w:szCs w:val="32"/>
          <w:u w:val="none"/>
          <w:lang w:val="en-US" w:eastAsia="zh-CN"/>
        </w:rPr>
        <w:t>66名新任</w:t>
      </w:r>
      <w:r>
        <w:rPr>
          <w:rFonts w:hint="eastAsia" w:ascii="仿宋_GB2312" w:hAnsi="仿宋" w:eastAsia="仿宋_GB2312" w:cs="黑体"/>
          <w:color w:val="000000"/>
          <w:sz w:val="32"/>
          <w:szCs w:val="32"/>
          <w:u w:val="none"/>
          <w:lang w:eastAsia="zh-CN"/>
        </w:rPr>
        <w:t>人民陪审员</w:t>
      </w:r>
      <w:r>
        <w:rPr>
          <w:rFonts w:hint="eastAsia" w:ascii="仿宋_GB2312" w:hAnsi="仿宋" w:eastAsia="仿宋_GB2312" w:cs="黑体"/>
          <w:color w:val="000000"/>
          <w:sz w:val="32"/>
          <w:szCs w:val="32"/>
          <w:u w:val="none"/>
          <w:lang w:val="en-US" w:eastAsia="zh-CN"/>
        </w:rPr>
        <w:t>人选选任任免。</w:t>
      </w:r>
      <w:r>
        <w:rPr>
          <w:rFonts w:hint="eastAsia" w:ascii="仿宋_GB2312" w:hAnsi="仿宋" w:eastAsia="仿宋_GB2312" w:cs="黑体"/>
          <w:sz w:val="32"/>
          <w:szCs w:val="32"/>
          <w:u w:val="none"/>
        </w:rPr>
        <w:t>为农民工</w:t>
      </w:r>
      <w:r>
        <w:rPr>
          <w:rFonts w:hint="eastAsia" w:ascii="仿宋_GB2312" w:hAnsi="仿宋" w:eastAsia="仿宋_GB2312" w:cs="黑体"/>
          <w:sz w:val="32"/>
          <w:szCs w:val="32"/>
          <w:u w:val="none"/>
          <w:lang w:eastAsia="zh-CN"/>
        </w:rPr>
        <w:t>讨薪专设</w:t>
      </w:r>
      <w:r>
        <w:rPr>
          <w:rFonts w:hint="eastAsia" w:ascii="仿宋_GB2312" w:hAnsi="仿宋" w:eastAsia="仿宋_GB2312" w:cs="黑体"/>
          <w:sz w:val="32"/>
          <w:szCs w:val="32"/>
          <w:u w:val="none"/>
        </w:rPr>
        <w:t>“绿色通道”，</w:t>
      </w:r>
      <w:r>
        <w:rPr>
          <w:rFonts w:hint="eastAsia" w:ascii="仿宋_GB2312" w:hAnsi="仿宋" w:eastAsia="仿宋_GB2312" w:cs="黑体"/>
          <w:sz w:val="32"/>
          <w:szCs w:val="32"/>
          <w:u w:val="none"/>
          <w:lang w:val="en-US" w:eastAsia="zh-CN"/>
        </w:rPr>
        <w:t>让劳动者只进一个“门”即可享受“一站式”的法律援助服务。全年共</w:t>
      </w:r>
      <w:r>
        <w:rPr>
          <w:rFonts w:hint="eastAsia" w:ascii="仿宋_GB2312" w:hAnsi="仿宋" w:eastAsia="仿宋_GB2312" w:cs="黑体"/>
          <w:sz w:val="32"/>
          <w:szCs w:val="32"/>
          <w:u w:val="none"/>
        </w:rPr>
        <w:t>办理法律援助案件</w:t>
      </w:r>
      <w:r>
        <w:rPr>
          <w:rFonts w:hint="eastAsia" w:ascii="仿宋_GB2312" w:hAnsi="仿宋" w:eastAsia="仿宋_GB2312" w:cs="黑体"/>
          <w:sz w:val="32"/>
          <w:szCs w:val="32"/>
          <w:u w:val="none"/>
          <w:lang w:val="en-US" w:eastAsia="zh-CN"/>
        </w:rPr>
        <w:t>60</w:t>
      </w:r>
      <w:r>
        <w:rPr>
          <w:rFonts w:hint="eastAsia" w:ascii="仿宋_GB2312" w:hAnsi="仿宋" w:eastAsia="仿宋_GB2312" w:cs="黑体"/>
          <w:sz w:val="32"/>
          <w:szCs w:val="32"/>
          <w:u w:val="none"/>
        </w:rPr>
        <w:t>件，解答咨询</w:t>
      </w:r>
      <w:r>
        <w:rPr>
          <w:rFonts w:hint="eastAsia" w:ascii="仿宋_GB2312" w:hAnsi="仿宋" w:eastAsia="仿宋_GB2312" w:cs="黑体"/>
          <w:sz w:val="32"/>
          <w:szCs w:val="32"/>
          <w:u w:val="none"/>
          <w:lang w:val="en-US" w:eastAsia="zh-CN"/>
        </w:rPr>
        <w:t>185</w:t>
      </w:r>
      <w:r>
        <w:rPr>
          <w:rFonts w:hint="eastAsia" w:ascii="仿宋_GB2312" w:hAnsi="仿宋" w:eastAsia="仿宋_GB2312" w:cs="黑体"/>
          <w:sz w:val="32"/>
          <w:szCs w:val="32"/>
          <w:u w:val="none"/>
        </w:rPr>
        <w:t>人次，满意度达到100 %。</w:t>
      </w:r>
      <w:r>
        <w:rPr>
          <w:rFonts w:hint="eastAsia" w:ascii="仿宋_GB2312" w:hAnsi="仿宋" w:eastAsia="仿宋_GB2312" w:cs="黑体"/>
          <w:sz w:val="32"/>
          <w:szCs w:val="32"/>
          <w:u w:val="none"/>
          <w:lang w:val="en-US" w:eastAsia="zh-CN"/>
        </w:rPr>
        <w:t>积极推动法律顾问选聘工作，</w:t>
      </w:r>
      <w:r>
        <w:rPr>
          <w:rFonts w:hint="eastAsia" w:ascii="仿宋_GB2312" w:hAnsi="仿宋" w:eastAsia="仿宋_GB2312" w:cs="黑体"/>
          <w:sz w:val="32"/>
          <w:szCs w:val="32"/>
          <w:u w:val="none"/>
          <w:lang w:eastAsia="zh-CN"/>
        </w:rPr>
        <w:t>区直各单位、各</w:t>
      </w:r>
      <w:r>
        <w:rPr>
          <w:rFonts w:hint="eastAsia" w:ascii="仿宋_GB2312" w:hAnsi="仿宋" w:eastAsia="仿宋_GB2312" w:cs="黑体"/>
          <w:sz w:val="32"/>
          <w:szCs w:val="32"/>
          <w:u w:val="none"/>
        </w:rPr>
        <w:t>镇</w:t>
      </w:r>
      <w:r>
        <w:rPr>
          <w:rFonts w:hint="eastAsia" w:ascii="仿宋_GB2312" w:hAnsi="仿宋" w:eastAsia="仿宋_GB2312" w:cs="黑体"/>
          <w:sz w:val="32"/>
          <w:szCs w:val="32"/>
          <w:u w:val="none"/>
          <w:lang w:eastAsia="zh-CN"/>
        </w:rPr>
        <w:t>（街道）、所有</w:t>
      </w:r>
      <w:r>
        <w:rPr>
          <w:rFonts w:hint="eastAsia" w:ascii="仿宋_GB2312" w:hAnsi="仿宋" w:eastAsia="仿宋_GB2312" w:cs="黑体"/>
          <w:sz w:val="32"/>
          <w:szCs w:val="32"/>
          <w:u w:val="none"/>
        </w:rPr>
        <w:t>村</w:t>
      </w:r>
      <w:r>
        <w:rPr>
          <w:rFonts w:hint="eastAsia" w:ascii="仿宋_GB2312" w:hAnsi="仿宋" w:eastAsia="仿宋_GB2312" w:cs="黑体"/>
          <w:sz w:val="32"/>
          <w:szCs w:val="32"/>
          <w:u w:val="none"/>
          <w:lang w:eastAsia="zh-CN"/>
        </w:rPr>
        <w:t>（社区）</w:t>
      </w:r>
      <w:r>
        <w:rPr>
          <w:rFonts w:hint="eastAsia" w:ascii="仿宋_GB2312" w:hAnsi="仿宋" w:eastAsia="仿宋_GB2312" w:cs="黑体"/>
          <w:sz w:val="32"/>
          <w:szCs w:val="32"/>
          <w:u w:val="none"/>
        </w:rPr>
        <w:t>实现法律顾问全覆盖</w:t>
      </w:r>
      <w:r>
        <w:rPr>
          <w:rFonts w:hint="eastAsia" w:ascii="仿宋_GB2312" w:hAnsi="仿宋" w:eastAsia="仿宋_GB2312" w:cs="黑体"/>
          <w:sz w:val="32"/>
          <w:szCs w:val="32"/>
          <w:u w:val="none"/>
          <w:lang w:eastAsia="zh-CN"/>
        </w:rPr>
        <w:t>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黑体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  <w:t>2.抓实人民调解工作。</w:t>
      </w:r>
      <w:r>
        <w:rPr>
          <w:rFonts w:hint="eastAsia" w:ascii="仿宋_GB2312" w:hAnsi="仿宋" w:eastAsia="仿宋_GB2312" w:cs="黑体"/>
          <w:b/>
          <w:bCs/>
          <w:color w:val="000000"/>
          <w:sz w:val="32"/>
          <w:szCs w:val="32"/>
          <w:u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</w:rPr>
        <w:t>坚持发展“枫桥经验”，深入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eastAsia="zh-CN"/>
        </w:rPr>
        <w:t>推进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eastAsia="zh-CN"/>
        </w:rPr>
        <w:t>群英断是非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eastAsia="zh-CN"/>
        </w:rPr>
        <w:t>工作法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</w:rPr>
        <w:t>。</w:t>
      </w:r>
      <w:r>
        <w:rPr>
          <w:rFonts w:hint="eastAsia" w:ascii="仿宋_GB2312" w:hAnsi="仿宋" w:eastAsia="仿宋_GB2312" w:cs="黑体"/>
          <w:color w:val="000000"/>
          <w:sz w:val="32"/>
          <w:szCs w:val="32"/>
          <w:u w:val="none"/>
          <w:lang w:val="en-US" w:eastAsia="zh-CN"/>
        </w:rPr>
        <w:t>开展了“人民调解为人民”等专题调解活动。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共调处化解矛盾纠纷392件，其中疑难复杂纠纷45起，重大纠纷10起，杜绝了“民转刑”现象发生。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加强人民调解队伍建设。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全区设立了8个行业性专业性调委会，5个镇（街道）设立了82个调委会，共有人民调解员266名，同时选任30名专业领域人士组成“群英断是非”专家库，全力推进我区矛盾纠纷调解工作。</w:t>
      </w:r>
    </w:p>
    <w:p>
      <w:pPr>
        <w:keepNext w:val="0"/>
        <w:keepLines w:val="0"/>
        <w:pageBreakBefore w:val="0"/>
        <w:widowControl/>
        <w:tabs>
          <w:tab w:val="left" w:pos="6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" w:eastAsia="仿宋_GB2312" w:cs="黑体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黑体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  <w:t>3.管好社区矫正对象。</w:t>
      </w:r>
      <w:r>
        <w:rPr>
          <w:rFonts w:hint="eastAsia" w:ascii="仿宋_GB2312" w:hAnsi="仿宋" w:eastAsia="仿宋_GB2312" w:cs="黑体"/>
          <w:b w:val="0"/>
          <w:bCs w:val="0"/>
          <w:color w:val="000000"/>
          <w:sz w:val="32"/>
          <w:szCs w:val="32"/>
          <w:u w:val="none"/>
          <w:lang w:eastAsia="zh-CN"/>
        </w:rPr>
        <w:t>坚持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u w:val="none"/>
        </w:rPr>
        <w:t>“人防、物防、技防”措施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u w:val="none"/>
          <w:lang w:eastAsia="zh-CN"/>
        </w:rPr>
        <w:t>相结合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u w:val="none"/>
        </w:rPr>
        <w:t>，</w:t>
      </w:r>
      <w:r>
        <w:rPr>
          <w:rFonts w:hint="eastAsia" w:ascii="仿宋_GB2312" w:hAnsi="Verdana" w:eastAsia="仿宋_GB2312"/>
          <w:color w:val="000000"/>
          <w:sz w:val="32"/>
          <w:szCs w:val="32"/>
          <w:u w:val="none"/>
        </w:rPr>
        <w:t>落实日常监管。</w:t>
      </w:r>
      <w:r>
        <w:rPr>
          <w:rFonts w:hint="eastAsia" w:ascii="仿宋_GB2312" w:hAnsi="Verdana" w:eastAsia="仿宋_GB2312"/>
          <w:color w:val="000000"/>
          <w:sz w:val="32"/>
          <w:szCs w:val="32"/>
          <w:u w:val="none"/>
          <w:lang w:eastAsia="zh-CN"/>
        </w:rPr>
        <w:t>加强社矫硬件建设。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智慧矫正中心</w:t>
      </w:r>
      <w:r>
        <w:rPr>
          <w:rFonts w:hint="eastAsia" w:ascii="仿宋_GB2312" w:hAnsi="仿宋" w:eastAsia="仿宋_GB2312" w:cs="黑体"/>
          <w:sz w:val="32"/>
          <w:szCs w:val="32"/>
          <w:u w:val="none"/>
          <w:lang w:val="en-US" w:eastAsia="zh-CN"/>
        </w:rPr>
        <w:t>2023年4月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顺利通过省厅验收并投入使用，</w:t>
      </w:r>
      <w:r>
        <w:rPr>
          <w:rFonts w:hint="eastAsia" w:ascii="仿宋_GB2312" w:hAnsi="仿宋" w:eastAsia="仿宋_GB2312" w:cs="黑体"/>
          <w:sz w:val="32"/>
          <w:szCs w:val="32"/>
          <w:u w:val="none"/>
          <w:lang w:val="en-US" w:eastAsia="zh-CN"/>
        </w:rPr>
        <w:t>依托该中心评估系统、矫务通协矫通APP，全面提升了入矫方案的合法性、针对性和规范性。我区连续10个月在“湖南省智慧矫正一体化平台”月考核均为100分省级排名第一，连续12个月月考核99.3分以上，市级排名第一。全区社区矫正对象信息化监管率达到了100%。按时完成全年暂予监外执行对象的医学鉴定。(目前）全区在册社区矫正对象86人，其中缓刑84人、假释1人、暂予监外执行1人，已完成社会调查评估83起，3月9日提请撤销缓刑1起。认真落实各项监管规定，社区矫正监管安全保持总体稳定，社区矫正对象实现了“零脱管、零漏管、零重大恶性犯罪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57" w:leftChars="-56" w:right="-126" w:rightChars="-45" w:firstLine="643" w:firstLineChars="200"/>
        <w:textAlignment w:val="auto"/>
        <w:rPr>
          <w:rFonts w:hint="eastAsia" w:ascii="仿宋_GB2312" w:hAnsi="仿宋" w:eastAsia="仿宋_GB2312" w:cs="黑体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黑体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  <w:t>4.抓好安置帮教对象。</w:t>
      </w:r>
      <w:r>
        <w:rPr>
          <w:rFonts w:hint="eastAsia" w:ascii="仿宋_GB2312" w:hAnsi="仿宋" w:eastAsia="仿宋_GB2312" w:cs="黑体"/>
          <w:sz w:val="32"/>
          <w:szCs w:val="32"/>
          <w:u w:val="none"/>
          <w:lang w:val="en-US" w:eastAsia="zh-CN"/>
        </w:rPr>
        <w:t>对近5年来的刑满释放人员建立“一档一卡”，规范运行全国安置帮教信息管理系统，发起衔接率、核查率、安置率、帮教率均达100%。开展“情暖高墙 关爱孩子”活动，对10名安置帮教困难家庭帮扶慰问金共计6000元。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黑体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  <w:t>5.持续加强依法行政。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eastAsia="zh-CN"/>
        </w:rPr>
        <w:t>全年共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</w:rPr>
        <w:t>审查规范性文件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</w:rPr>
        <w:t>件，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eastAsia="zh-CN"/>
        </w:rPr>
        <w:t>各类文件、合同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val="en-US" w:eastAsia="zh-CN"/>
        </w:rPr>
        <w:t>24份，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完成对25个执法部门40宗执法案卷的抽查、全区46件规范性文件的梳理和湖南智慧人大网的录入工作。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</w:rPr>
        <w:t>审查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eastAsia="zh-CN"/>
        </w:rPr>
        <w:t>非规范性文件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</w:rPr>
        <w:t>件，审查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eastAsia="zh-CN"/>
        </w:rPr>
        <w:t>区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</w:rPr>
        <w:t>政府重大合同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val="en-US" w:eastAsia="zh-CN"/>
        </w:rPr>
        <w:t>41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</w:rPr>
        <w:t>件，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eastAsia="zh-CN"/>
        </w:rPr>
        <w:t>新收行政复议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</w:rPr>
        <w:t>案件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val="en-US" w:eastAsia="zh-CN"/>
        </w:rPr>
        <w:t>40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</w:rPr>
        <w:t>件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val="en-US" w:eastAsia="zh-CN"/>
        </w:rPr>
        <w:t>完成结案37件，结案率92.5%，其中调解撤回18件，调解率58.06%；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</w:rPr>
        <w:t>办理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eastAsia="zh-CN"/>
        </w:rPr>
        <w:t>区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</w:rPr>
        <w:t>政府行政诉讼案件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val="en-US" w:eastAsia="zh-CN"/>
        </w:rPr>
        <w:t>12件，其中海霞酱菜厂案区政府分管负责人出庭应诉。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</w:rPr>
        <w:t>参与各类协调会议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val="en-US" w:eastAsia="zh-CN"/>
        </w:rPr>
        <w:t>70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</w:rPr>
        <w:t>多次，提出法律意见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val="en-US" w:eastAsia="zh-CN"/>
        </w:rPr>
        <w:t>223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</w:rPr>
        <w:t>条，采纳意见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val="en-US" w:eastAsia="zh-CN"/>
        </w:rPr>
        <w:t>157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</w:rPr>
        <w:t>条，为政府决策的科学性、合法性与可操作性提供了有力的保障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" w:eastAsia="仿宋_GB2312" w:cs="黑体"/>
          <w:b w:val="0"/>
          <w:bCs w:val="0"/>
          <w:sz w:val="32"/>
          <w:szCs w:val="32"/>
          <w:u w:val="none"/>
          <w:lang w:val="en-US" w:eastAsia="zh-CN"/>
        </w:rPr>
        <w:t>组织2023年度行政执法资格考试，全年共计423人通过行政执法资格考试并领取行政执法证。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存在的问题及原因分析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因部分工作不可预见性，有些支出无法纳入预算，导致预算执行存在偏差。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2、部门预算的精细准确度有待进一步提高。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对预算绩效管理知识的学习存在局限性，预算绩效管理的合理性、科学性还需加强。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七、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、提高对预算绩效管理的认识，充分理解财政绩效评价指标体系，注重绩效目标、评价指标的关联性，依据部门职责和年度工作重点，更加科学合理地确定部门绩效目标和评价目标。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、强化全过程预算绩效管理理念，强化部门项目选择与部门职责的相关性。按财政管理要求进一步建立完善项目库和内部项目选择机制，完善项目管理制度，实施项目事加强领导重视，合理设定绩效目标，强化管理措施，科学编制预算,认真组织绩效考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3、建立科学合理的项目预算效果考核机制，依据预设的绩效数量、质量指标全面衡量预算实施效果，既重“绩”，更重“效”。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4、注重考核的全面性和客观性，对预设指标之外的项目同样纳入考核评价报告。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br w:type="page"/>
      </w: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10.23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6.28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6.28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3.95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115.29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151.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95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21.69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9.12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2.04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0.82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0.39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123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123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严控"三公"开支。将差旅费、公务接待费、公车运行费、会议费、培训费纳入从严控制范围，严格开支范围，从严执行标准，把好报销审核关，严禁报销超范围、超标准及与公务活动无关的费用，不报销未按程序审批报备、原始凭证不完整的支出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6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73"/>
        <w:gridCol w:w="1577"/>
        <w:gridCol w:w="1453"/>
        <w:gridCol w:w="1350"/>
        <w:gridCol w:w="660"/>
        <w:gridCol w:w="705"/>
        <w:gridCol w:w="1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岳阳市君山区司法局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474.57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654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654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654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29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其中：基本支出：403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项目支出：250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推行预算绩效管理，强化对资金使用情况的预算约束和监督，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瞄准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部门职责，在区委、区政府的坚强领导下，积极推动各项工作任务的落实见效，提高财政资金的作用效能，促进管理效能的大力提升。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抓实人民调解工作，管好社区矫正对象，抓好安置帮教对象，持续加强依法行政，圆满完成了全年目标任务。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FangSong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办理援助案件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50件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60件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审查文件、合同、案件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100份、件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102份、件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帮教对象安置率、帮教率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社会矛盾化解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率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“湖南省智慧矫正平台”考核排名分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90分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99.3分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计划时间完成任务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2023、12、31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2023、12、31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完成任务支出不超过预算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654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654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推动区域经济高质量发展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社会平安稳定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推进生态环境改善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确保社会平安稳定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社会公众或服务对象满意度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65"/>
        <w:gridCol w:w="1053"/>
        <w:gridCol w:w="1196"/>
        <w:gridCol w:w="1216"/>
        <w:gridCol w:w="1216"/>
        <w:gridCol w:w="814"/>
        <w:gridCol w:w="861"/>
        <w:gridCol w:w="1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司法专项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岳阳市君山区司法局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岳阳市君山区司法局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68.1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68.1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68.1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68.1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68.1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68.1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积极推进法律惠民工程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深入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推进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群英断是非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2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开展了“人民调解为人民”等专题调解活动。全年共调处化解矛盾纠纷392件，其中疑难复杂纠纷45起，重大纠纷10起，杜绝了“民转刑”现象发生。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专题调解活动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1次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开展廉政教育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≥4次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社区矫正对象信息化监管率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=100%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=100%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重大恶性犯罪率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经费支出时效性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-12-31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-12-31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年初内预算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≤100%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≤100%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控制非生产性开支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有效减少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有效减少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民主法治氛围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有效增强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有效增强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节约水电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有效减少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有效减少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法治宣传教育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效果显著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效果显著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55167"/>
    <w:multiLevelType w:val="singleLevel"/>
    <w:tmpl w:val="A5E5516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25036FE"/>
    <w:multiLevelType w:val="singleLevel"/>
    <w:tmpl w:val="425036F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F0490DB"/>
    <w:multiLevelType w:val="singleLevel"/>
    <w:tmpl w:val="7F0490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F66692C"/>
    <w:multiLevelType w:val="singleLevel"/>
    <w:tmpl w:val="7F66692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59886344"/>
    <w:rsid w:val="005C088A"/>
    <w:rsid w:val="0061443A"/>
    <w:rsid w:val="00E71A01"/>
    <w:rsid w:val="00F57038"/>
    <w:rsid w:val="01DC65FE"/>
    <w:rsid w:val="03585F5D"/>
    <w:rsid w:val="0368705F"/>
    <w:rsid w:val="03E40645"/>
    <w:rsid w:val="0523406D"/>
    <w:rsid w:val="05F16DA0"/>
    <w:rsid w:val="067D155B"/>
    <w:rsid w:val="072A0D5E"/>
    <w:rsid w:val="07FA2C8F"/>
    <w:rsid w:val="08D531AA"/>
    <w:rsid w:val="093623DA"/>
    <w:rsid w:val="0A0718F5"/>
    <w:rsid w:val="0A23066B"/>
    <w:rsid w:val="0AB561C0"/>
    <w:rsid w:val="0B521208"/>
    <w:rsid w:val="0BD0037E"/>
    <w:rsid w:val="0BD07CC1"/>
    <w:rsid w:val="0F29227F"/>
    <w:rsid w:val="0FC41FA8"/>
    <w:rsid w:val="101F6442"/>
    <w:rsid w:val="104073FF"/>
    <w:rsid w:val="12BD0C25"/>
    <w:rsid w:val="12D32267"/>
    <w:rsid w:val="13D670D0"/>
    <w:rsid w:val="13DA2702"/>
    <w:rsid w:val="1405311A"/>
    <w:rsid w:val="172B2124"/>
    <w:rsid w:val="172D2B29"/>
    <w:rsid w:val="17AD2D85"/>
    <w:rsid w:val="17DC7904"/>
    <w:rsid w:val="18096877"/>
    <w:rsid w:val="18A72D74"/>
    <w:rsid w:val="192E77AB"/>
    <w:rsid w:val="198A7D37"/>
    <w:rsid w:val="19EE58BC"/>
    <w:rsid w:val="1BFB1448"/>
    <w:rsid w:val="1CA83CAE"/>
    <w:rsid w:val="1CA92FCC"/>
    <w:rsid w:val="1D61249D"/>
    <w:rsid w:val="1DD737EE"/>
    <w:rsid w:val="1E284F2F"/>
    <w:rsid w:val="1ECA401E"/>
    <w:rsid w:val="1F417171"/>
    <w:rsid w:val="1F9C4CF0"/>
    <w:rsid w:val="1F9F20EA"/>
    <w:rsid w:val="1FE411A4"/>
    <w:rsid w:val="20717F2A"/>
    <w:rsid w:val="20F87A39"/>
    <w:rsid w:val="216B6728"/>
    <w:rsid w:val="2192231E"/>
    <w:rsid w:val="22E32006"/>
    <w:rsid w:val="24BE2C1C"/>
    <w:rsid w:val="278176C0"/>
    <w:rsid w:val="27CB7F20"/>
    <w:rsid w:val="283F1A68"/>
    <w:rsid w:val="292C7FA1"/>
    <w:rsid w:val="2A100353"/>
    <w:rsid w:val="2A3E3853"/>
    <w:rsid w:val="2A450AA9"/>
    <w:rsid w:val="2A8D3BB3"/>
    <w:rsid w:val="2AB06A81"/>
    <w:rsid w:val="2B0F3E96"/>
    <w:rsid w:val="2B99398C"/>
    <w:rsid w:val="2BAA0E41"/>
    <w:rsid w:val="2D410C84"/>
    <w:rsid w:val="2D4657EE"/>
    <w:rsid w:val="2F0E4B96"/>
    <w:rsid w:val="2F2045CC"/>
    <w:rsid w:val="320B53DF"/>
    <w:rsid w:val="321D3FE2"/>
    <w:rsid w:val="32C548F8"/>
    <w:rsid w:val="334509C4"/>
    <w:rsid w:val="33F86541"/>
    <w:rsid w:val="34EE49C0"/>
    <w:rsid w:val="35CF5E74"/>
    <w:rsid w:val="36200CAA"/>
    <w:rsid w:val="373D2C45"/>
    <w:rsid w:val="38C118F0"/>
    <w:rsid w:val="3B23785C"/>
    <w:rsid w:val="3C076C7B"/>
    <w:rsid w:val="3C156456"/>
    <w:rsid w:val="3C2C64D2"/>
    <w:rsid w:val="3CB537CF"/>
    <w:rsid w:val="3CF73497"/>
    <w:rsid w:val="3D070645"/>
    <w:rsid w:val="3E9B4D67"/>
    <w:rsid w:val="3F532744"/>
    <w:rsid w:val="3F696B11"/>
    <w:rsid w:val="40F273ED"/>
    <w:rsid w:val="41123E0D"/>
    <w:rsid w:val="41B63929"/>
    <w:rsid w:val="41F76A00"/>
    <w:rsid w:val="42182D4E"/>
    <w:rsid w:val="427C2F78"/>
    <w:rsid w:val="42907FB1"/>
    <w:rsid w:val="43B151C2"/>
    <w:rsid w:val="440B0BF3"/>
    <w:rsid w:val="44182F4F"/>
    <w:rsid w:val="44401EAB"/>
    <w:rsid w:val="4441183E"/>
    <w:rsid w:val="445265DF"/>
    <w:rsid w:val="44930287"/>
    <w:rsid w:val="453E5D7D"/>
    <w:rsid w:val="45557FD1"/>
    <w:rsid w:val="45835ABB"/>
    <w:rsid w:val="458D5615"/>
    <w:rsid w:val="45DE6DF0"/>
    <w:rsid w:val="47F62B74"/>
    <w:rsid w:val="4829354E"/>
    <w:rsid w:val="48770C66"/>
    <w:rsid w:val="497F0684"/>
    <w:rsid w:val="49A50F0B"/>
    <w:rsid w:val="49C65963"/>
    <w:rsid w:val="49FF2520"/>
    <w:rsid w:val="4A747320"/>
    <w:rsid w:val="4B9C166F"/>
    <w:rsid w:val="4C404189"/>
    <w:rsid w:val="4EC87298"/>
    <w:rsid w:val="503F0BFC"/>
    <w:rsid w:val="5089260D"/>
    <w:rsid w:val="540612DD"/>
    <w:rsid w:val="54326440"/>
    <w:rsid w:val="54622945"/>
    <w:rsid w:val="54C3493C"/>
    <w:rsid w:val="550B4E52"/>
    <w:rsid w:val="55215252"/>
    <w:rsid w:val="55241353"/>
    <w:rsid w:val="56EE3E47"/>
    <w:rsid w:val="570F7BE9"/>
    <w:rsid w:val="577354C1"/>
    <w:rsid w:val="57EA583A"/>
    <w:rsid w:val="57F152A0"/>
    <w:rsid w:val="58393127"/>
    <w:rsid w:val="59886344"/>
    <w:rsid w:val="5998102F"/>
    <w:rsid w:val="59BB0154"/>
    <w:rsid w:val="5A4802D8"/>
    <w:rsid w:val="5AF440A0"/>
    <w:rsid w:val="5B0A331F"/>
    <w:rsid w:val="5B192C82"/>
    <w:rsid w:val="5B411CCC"/>
    <w:rsid w:val="5B950730"/>
    <w:rsid w:val="5BC00E43"/>
    <w:rsid w:val="5C1263A3"/>
    <w:rsid w:val="5D1F428F"/>
    <w:rsid w:val="5DCB2D35"/>
    <w:rsid w:val="5E8C14B0"/>
    <w:rsid w:val="5EE144F9"/>
    <w:rsid w:val="607D37A6"/>
    <w:rsid w:val="61007BC1"/>
    <w:rsid w:val="61045C75"/>
    <w:rsid w:val="619E0691"/>
    <w:rsid w:val="62BC40AF"/>
    <w:rsid w:val="62D378CB"/>
    <w:rsid w:val="63202106"/>
    <w:rsid w:val="637A7C74"/>
    <w:rsid w:val="63C60FC0"/>
    <w:rsid w:val="6410048D"/>
    <w:rsid w:val="64715225"/>
    <w:rsid w:val="64CF6C8F"/>
    <w:rsid w:val="66524D8D"/>
    <w:rsid w:val="674F6FAE"/>
    <w:rsid w:val="68DD5D2B"/>
    <w:rsid w:val="6A7B3442"/>
    <w:rsid w:val="6ADA0DE0"/>
    <w:rsid w:val="6B99345E"/>
    <w:rsid w:val="6C303DC2"/>
    <w:rsid w:val="6CA97D11"/>
    <w:rsid w:val="6CC938CF"/>
    <w:rsid w:val="6D107750"/>
    <w:rsid w:val="6D800432"/>
    <w:rsid w:val="6E3D2F8F"/>
    <w:rsid w:val="6E705326"/>
    <w:rsid w:val="6EBC4974"/>
    <w:rsid w:val="6EC01A4C"/>
    <w:rsid w:val="6F0B01CF"/>
    <w:rsid w:val="6F0D3B6F"/>
    <w:rsid w:val="6F41220A"/>
    <w:rsid w:val="6F6A3127"/>
    <w:rsid w:val="70F133F4"/>
    <w:rsid w:val="71973F9C"/>
    <w:rsid w:val="727D5A41"/>
    <w:rsid w:val="73102258"/>
    <w:rsid w:val="73BF6C6B"/>
    <w:rsid w:val="744C72C0"/>
    <w:rsid w:val="749B3DA3"/>
    <w:rsid w:val="74EC4E86"/>
    <w:rsid w:val="758D6016"/>
    <w:rsid w:val="767D7DFF"/>
    <w:rsid w:val="768770CB"/>
    <w:rsid w:val="7728263E"/>
    <w:rsid w:val="77E67A2B"/>
    <w:rsid w:val="79607369"/>
    <w:rsid w:val="798C015E"/>
    <w:rsid w:val="7A5614FA"/>
    <w:rsid w:val="7B163415"/>
    <w:rsid w:val="7BA43AC1"/>
    <w:rsid w:val="7BE44282"/>
    <w:rsid w:val="7C7D6B26"/>
    <w:rsid w:val="7C9150AE"/>
    <w:rsid w:val="7D207D82"/>
    <w:rsid w:val="7EF83BA3"/>
    <w:rsid w:val="7F2A13E6"/>
    <w:rsid w:val="7F343489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BodyText"/>
    <w:basedOn w:val="1"/>
    <w:next w:val="9"/>
    <w:qFormat/>
    <w:uiPriority w:val="0"/>
    <w:pPr>
      <w:textAlignment w:val="baseline"/>
    </w:pPr>
    <w:rPr>
      <w:rFonts w:ascii="仿宋_GB2312" w:hAnsi="仿宋_GB2312" w:eastAsia="仿宋_GB2312"/>
      <w:sz w:val="32"/>
      <w:szCs w:val="32"/>
      <w:lang w:val="zh-CN" w:bidi="zh-CN"/>
    </w:rPr>
  </w:style>
  <w:style w:type="paragraph" w:customStyle="1" w:styleId="9">
    <w:name w:val="BodyText1I"/>
    <w:basedOn w:val="8"/>
    <w:qFormat/>
    <w:uiPriority w:val="0"/>
    <w:pPr>
      <w:ind w:firstLine="420" w:firstLineChars="100"/>
      <w:textAlignment w:val="baseline"/>
    </w:pPr>
    <w:rPr>
      <w:rFonts w:ascii="仿宋_GB2312" w:hAnsi="仿宋_GB2312" w:eastAsia="仿宋_GB2312" w:cs="宋体"/>
      <w:sz w:val="32"/>
      <w:szCs w:val="32"/>
      <w:lang w:val="zh-CN" w:bidi="zh-CN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5519</Words>
  <Characters>6008</Characters>
  <Lines>0</Lines>
  <Paragraphs>0</Paragraphs>
  <TotalTime>5</TotalTime>
  <ScaleCrop>false</ScaleCrop>
  <LinksUpToDate>false</LinksUpToDate>
  <CharactersWithSpaces>6317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ZACK</cp:lastModifiedBy>
  <dcterms:modified xsi:type="dcterms:W3CDTF">2024-07-09T03:51:23Z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12C804FB5DC74582993175EDEB038DA2_13</vt:lpwstr>
  </property>
</Properties>
</file>