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171.11%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23.49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7.91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17.61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5.88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3.91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201.48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77.55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201.48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77.55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386.94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479.4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612.80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30.48</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56.27</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10.4</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9.55</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0.92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8.59</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136.05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万小会</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2024年6月20日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13975096846</w:t>
      </w: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68"/>
        <w:gridCol w:w="1068"/>
        <w:gridCol w:w="1018"/>
        <w:gridCol w:w="1608"/>
        <w:gridCol w:w="1354"/>
        <w:gridCol w:w="916"/>
        <w:gridCol w:w="711"/>
        <w:gridCol w:w="916"/>
        <w:gridCol w:w="1420"/>
      </w:tblGrid>
      <w:tr>
        <w:tblPrEx>
          <w:tblCellMar>
            <w:top w:w="0" w:type="dxa"/>
            <w:left w:w="108" w:type="dxa"/>
            <w:bottom w:w="0" w:type="dxa"/>
            <w:right w:w="108" w:type="dxa"/>
          </w:tblCellMar>
        </w:tblPrEx>
        <w:trPr>
          <w:jc w:val="center"/>
        </w:trPr>
        <w:tc>
          <w:tcPr>
            <w:tcW w:w="106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11"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岳阳市君山区市场监督管理局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86"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60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5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9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68"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086"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60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1630.79</w:t>
            </w:r>
          </w:p>
        </w:tc>
        <w:tc>
          <w:tcPr>
            <w:tcW w:w="1354"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2161.58</w:t>
            </w:r>
          </w:p>
        </w:tc>
        <w:tc>
          <w:tcPr>
            <w:tcW w:w="91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2161.58</w:t>
            </w:r>
          </w:p>
        </w:tc>
        <w:tc>
          <w:tcPr>
            <w:tcW w:w="7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1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2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9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2097.33</w:t>
            </w:r>
          </w:p>
        </w:tc>
        <w:tc>
          <w:tcPr>
            <w:tcW w:w="39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2084.03</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963"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77.55</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9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8"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64.52</w:t>
            </w:r>
          </w:p>
        </w:tc>
        <w:tc>
          <w:tcPr>
            <w:tcW w:w="39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8"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04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96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68"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推进登记制度改革</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推进落实企业信用监管，加强网络交易监管</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实施商标品牌战略，强化知识产权保护</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消费维权，优化消费市场环境</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目标5</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加大监管执法打击力度，推进市场专项整治</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目标6</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强化食品、药品、医疗器械、化妆品、特种设备安全监管</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目标7</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强化质量技术监督</w:t>
            </w:r>
          </w:p>
        </w:tc>
        <w:tc>
          <w:tcPr>
            <w:tcW w:w="396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推进登记制度改革</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推进落实企业信用监管，加强网络交易监管</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实施商标品牌战略，强化知识产权保护</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消费维权，优化消费市场环境</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目标5</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加大监管执法打击力度，推进市场专项整治</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目标6</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强化食品、药品、医疗器械、化妆品、特种设备安全监管</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目标7</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强化质量技术监督</w:t>
            </w:r>
          </w:p>
        </w:tc>
      </w:tr>
      <w:tr>
        <w:tblPrEx>
          <w:tblCellMar>
            <w:top w:w="0" w:type="dxa"/>
            <w:left w:w="108" w:type="dxa"/>
            <w:bottom w:w="0" w:type="dxa"/>
            <w:right w:w="108" w:type="dxa"/>
          </w:tblCellMar>
        </w:tblPrEx>
        <w:trPr>
          <w:jc w:val="center"/>
        </w:trPr>
        <w:tc>
          <w:tcPr>
            <w:tcW w:w="106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54"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实际完</w:t>
            </w:r>
            <w:r>
              <w:rPr>
                <w:rFonts w:hint="eastAsia" w:ascii="仿宋_GB2312" w:hAnsi="仿宋_GB2312" w:eastAsia="仿宋_GB2312" w:cs="仿宋_GB2312"/>
                <w:color w:val="000000"/>
                <w:sz w:val="20"/>
                <w:szCs w:val="20"/>
                <w:highlight w:val="none"/>
                <w:lang w:eastAsia="zh-CN"/>
              </w:rPr>
              <w:t>成值</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18"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 xml:space="preserve">  新增各类市场主体</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≥1000户</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cs="宋体"/>
                <w:i w:val="0"/>
                <w:iCs w:val="0"/>
                <w:color w:val="000000"/>
                <w:kern w:val="0"/>
                <w:sz w:val="13"/>
                <w:szCs w:val="13"/>
                <w:u w:val="none"/>
                <w:lang w:val="en-US" w:eastAsia="zh-CN" w:bidi="ar"/>
              </w:rPr>
              <w:t>2036</w:t>
            </w:r>
            <w:r>
              <w:rPr>
                <w:rFonts w:hint="eastAsia" w:ascii="宋体" w:hAnsi="宋体" w:eastAsia="宋体" w:cs="宋体"/>
                <w:i w:val="0"/>
                <w:iCs w:val="0"/>
                <w:color w:val="000000"/>
                <w:kern w:val="0"/>
                <w:sz w:val="13"/>
                <w:szCs w:val="13"/>
                <w:u w:val="none"/>
                <w:lang w:val="en-US" w:eastAsia="zh-CN" w:bidi="ar"/>
              </w:rPr>
              <w:t>户</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 xml:space="preserve">  食品药品及特种设备监管覆盖率</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100%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100%</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消费者投诉处置率</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100%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100%</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为消费者挽回经济损失</w:t>
            </w:r>
          </w:p>
        </w:tc>
        <w:tc>
          <w:tcPr>
            <w:tcW w:w="1354"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13"/>
                <w:szCs w:val="13"/>
                <w:highlight w:val="none"/>
              </w:rPr>
            </w:pP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200万元</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年报率</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≥95%</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96%</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 xml:space="preserve">  推进商标品牌战略</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≥100件</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100件</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 xml:space="preserve"> 食品及食用农产品抽检</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≥1000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930</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特种设备定期检验率</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3"/>
                <w:szCs w:val="13"/>
                <w:highlight w:val="none"/>
                <w:lang w:val="en-US" w:eastAsia="zh-CN" w:bidi="ar-SA"/>
              </w:rPr>
            </w:pPr>
            <w:r>
              <w:rPr>
                <w:rFonts w:hint="eastAsia" w:ascii="宋体" w:hAnsi="宋体" w:eastAsia="宋体" w:cs="宋体"/>
                <w:i w:val="0"/>
                <w:iCs w:val="0"/>
                <w:color w:val="000000"/>
                <w:kern w:val="0"/>
                <w:sz w:val="13"/>
                <w:szCs w:val="13"/>
                <w:u w:val="none"/>
                <w:lang w:val="en-US" w:eastAsia="zh-CN" w:bidi="ar"/>
              </w:rPr>
              <w:t>100%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3"/>
                <w:szCs w:val="13"/>
                <w:highlight w:val="none"/>
                <w:lang w:val="en-US" w:eastAsia="zh-CN" w:bidi="ar-SA"/>
              </w:rPr>
            </w:pPr>
            <w:r>
              <w:rPr>
                <w:rFonts w:hint="eastAsia" w:ascii="宋体" w:hAnsi="宋体" w:eastAsia="宋体" w:cs="宋体"/>
                <w:i w:val="0"/>
                <w:iCs w:val="0"/>
                <w:color w:val="000000"/>
                <w:kern w:val="0"/>
                <w:sz w:val="13"/>
                <w:szCs w:val="13"/>
                <w:u w:val="none"/>
                <w:lang w:val="en-US" w:eastAsia="zh-CN" w:bidi="ar"/>
              </w:rPr>
              <w:t>100%</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发生影响恶劣的重大执法违法违规事件</w:t>
            </w:r>
          </w:p>
        </w:tc>
        <w:tc>
          <w:tcPr>
            <w:tcW w:w="13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商标申请符合规范率</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3"/>
                <w:szCs w:val="13"/>
                <w:u w:val="none"/>
                <w:lang w:val="en-US" w:eastAsia="zh-CN" w:bidi="ar"/>
              </w:rPr>
              <w:t>100%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3"/>
                <w:szCs w:val="13"/>
                <w:u w:val="none"/>
                <w:lang w:val="en-US" w:eastAsia="zh-CN" w:bidi="ar"/>
              </w:rPr>
              <w:t>100%</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投诉调节成功率</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3"/>
                <w:szCs w:val="13"/>
                <w:u w:val="none"/>
                <w:lang w:val="en-US" w:eastAsia="zh-CN" w:bidi="ar"/>
              </w:rPr>
              <w:t>100%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3"/>
                <w:szCs w:val="13"/>
                <w:u w:val="none"/>
                <w:lang w:val="en-US" w:eastAsia="zh-CN" w:bidi="ar"/>
              </w:rPr>
              <w:t>100%</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投诉举报案件办结率……</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3"/>
                <w:szCs w:val="13"/>
                <w:u w:val="none"/>
                <w:lang w:val="en-US" w:eastAsia="zh-CN" w:bidi="ar"/>
              </w:rPr>
              <w:t>100%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3"/>
                <w:szCs w:val="13"/>
                <w:u w:val="none"/>
                <w:lang w:val="en-US" w:eastAsia="zh-CN" w:bidi="ar"/>
              </w:rPr>
              <w:t>100%</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工作完成及时率</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13"/>
                <w:szCs w:val="13"/>
                <w:highlight w:val="none"/>
                <w:lang w:val="en-US"/>
              </w:rPr>
            </w:pPr>
            <w:r>
              <w:rPr>
                <w:rFonts w:hint="eastAsia" w:ascii="宋体" w:hAnsi="宋体" w:cs="宋体"/>
                <w:i w:val="0"/>
                <w:iCs w:val="0"/>
                <w:color w:val="000000"/>
                <w:kern w:val="0"/>
                <w:sz w:val="13"/>
                <w:szCs w:val="13"/>
                <w:u w:val="none"/>
                <w:lang w:val="en-US" w:eastAsia="zh-CN" w:bidi="ar"/>
              </w:rPr>
              <w:t>100%</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3"/>
                <w:szCs w:val="13"/>
                <w:u w:val="none"/>
                <w:lang w:val="en-US" w:eastAsia="zh-CN" w:bidi="ar"/>
              </w:rPr>
              <w:t>100%</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保障工作正常运转</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13"/>
                <w:szCs w:val="13"/>
                <w:highlight w:val="none"/>
                <w:lang w:val="en-US"/>
              </w:rPr>
            </w:pPr>
            <w:r>
              <w:rPr>
                <w:rFonts w:hint="eastAsia" w:ascii="宋体" w:hAnsi="宋体" w:eastAsia="宋体" w:cs="宋体"/>
                <w:i w:val="0"/>
                <w:iCs w:val="0"/>
                <w:color w:val="000000"/>
                <w:kern w:val="0"/>
                <w:sz w:val="13"/>
                <w:szCs w:val="13"/>
                <w:u w:val="none"/>
                <w:lang w:val="en-US" w:eastAsia="zh-CN" w:bidi="ar"/>
              </w:rPr>
              <w:t>≤</w:t>
            </w:r>
            <w:r>
              <w:rPr>
                <w:rFonts w:hint="eastAsia" w:ascii="宋体" w:hAnsi="宋体" w:cs="宋体"/>
                <w:i w:val="0"/>
                <w:iCs w:val="0"/>
                <w:color w:val="000000"/>
                <w:kern w:val="0"/>
                <w:sz w:val="13"/>
                <w:szCs w:val="13"/>
                <w:u w:val="none"/>
                <w:lang w:val="en-US" w:eastAsia="zh-CN" w:bidi="ar"/>
              </w:rPr>
              <w:t>281万元</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全年罚没入库数</w:t>
            </w:r>
          </w:p>
        </w:tc>
        <w:tc>
          <w:tcPr>
            <w:tcW w:w="13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100万元</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171.30</w:t>
            </w: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全年为消费者挽回经济损失金额</w:t>
            </w:r>
          </w:p>
        </w:tc>
        <w:tc>
          <w:tcPr>
            <w:tcW w:w="13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50万元</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190</w:t>
            </w: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rPr>
            </w:pPr>
            <w:r>
              <w:rPr>
                <w:rFonts w:hint="eastAsia" w:ascii="宋体" w:hAnsi="宋体" w:eastAsia="宋体" w:cs="宋体"/>
                <w:i w:val="0"/>
                <w:iCs w:val="0"/>
                <w:color w:val="000000"/>
                <w:kern w:val="0"/>
                <w:sz w:val="15"/>
                <w:szCs w:val="15"/>
                <w:u w:val="none"/>
                <w:lang w:val="en-US" w:eastAsia="zh-CN" w:bidi="ar"/>
              </w:rPr>
              <w:t>虚假违法广告线索处置率</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15"/>
                <w:szCs w:val="15"/>
                <w:highlight w:val="none"/>
                <w:lang w:val="en-US"/>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95%</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5"/>
                <w:szCs w:val="15"/>
                <w:highlight w:val="none"/>
                <w:lang w:val="en-US" w:eastAsia="zh-CN" w:bidi="ar-SA"/>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95%</w:t>
            </w: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人民群众食品、药品安全意识普及率</w:t>
            </w:r>
          </w:p>
        </w:tc>
        <w:tc>
          <w:tcPr>
            <w:tcW w:w="13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95%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95%</w:t>
            </w: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6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68"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18"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群众识别、抵制假冒伪劣产品的意识</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增强</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增强</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6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18"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rPr>
            </w:pPr>
            <w:r>
              <w:rPr>
                <w:rFonts w:hint="eastAsia" w:ascii="宋体" w:hAnsi="宋体" w:eastAsia="宋体" w:cs="宋体"/>
                <w:i w:val="0"/>
                <w:iCs w:val="0"/>
                <w:color w:val="000000"/>
                <w:kern w:val="0"/>
                <w:sz w:val="15"/>
                <w:szCs w:val="15"/>
                <w:u w:val="none"/>
                <w:lang w:val="en-US" w:eastAsia="zh-CN" w:bidi="ar"/>
              </w:rPr>
              <w:t>食品安全满意率</w:t>
            </w:r>
          </w:p>
        </w:tc>
        <w:tc>
          <w:tcPr>
            <w:tcW w:w="135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95%</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5"/>
                <w:szCs w:val="15"/>
                <w:highlight w:val="none"/>
                <w:lang w:val="en-US" w:eastAsia="zh-CN" w:bidi="ar-SA"/>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95%</w:t>
            </w: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6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消费者对消费环境满意率</w:t>
            </w:r>
          </w:p>
        </w:tc>
        <w:tc>
          <w:tcPr>
            <w:tcW w:w="13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95%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95%</w:t>
            </w: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6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68"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18"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6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50" w:hRule="atLeast"/>
          <w:jc w:val="center"/>
        </w:trPr>
        <w:tc>
          <w:tcPr>
            <w:tcW w:w="7032"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after="0" w:afterLines="0" w:line="4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万小会</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2024年6月20日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13975096846</w:t>
      </w:r>
    </w:p>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食品安全责任保险</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参保人员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20万人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20万人</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事故赔付率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参保及时率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保险费</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1元/人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1元/人</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食品安全治理能力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政策持续性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被保险人员对食品全安全感满意度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95</w:t>
            </w:r>
            <w:r>
              <w:rPr>
                <w:rFonts w:hint="eastAsia" w:ascii="仿宋_GB2312" w:hAnsi="仿宋_GB2312" w:eastAsia="仿宋_GB2312" w:cs="仿宋_GB2312"/>
                <w:color w:val="000000"/>
                <w:sz w:val="20"/>
                <w:szCs w:val="20"/>
                <w:highlight w:val="none"/>
                <w:lang w:val="en-US" w:eastAsia="zh-CN"/>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95</w:t>
            </w:r>
            <w:r>
              <w:rPr>
                <w:rFonts w:hint="eastAsia" w:ascii="仿宋_GB2312" w:hAnsi="仿宋_GB2312" w:eastAsia="仿宋_GB2312" w:cs="仿宋_GB2312"/>
                <w:color w:val="000000"/>
                <w:sz w:val="20"/>
                <w:szCs w:val="20"/>
                <w:highlight w:val="none"/>
                <w:lang w:val="en-US" w:eastAsia="zh-CN"/>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9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after="0" w:afterLines="0" w:line="4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万小会</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2024年6月20日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13975096846</w:t>
      </w:r>
    </w:p>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食品及食用农产品抽检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57.55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57.55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95.92%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通过开展食品及食用农产品，进一步提高食品市场风险隐患排查能力，加强食品安全监管，提高食品安全监管工作效率。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通过开展食品及食用农产品，进一步提高食品市场风险隐患排查能力，加强食品安全监管，提高食品安全监管工作效率。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抽检批次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800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不合格食品处置率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抽检及时率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食品抽检控制成本</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600元/批次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540元/批次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其中全检</w:t>
            </w:r>
            <w:r>
              <w:rPr>
                <w:rFonts w:hint="eastAsia" w:ascii="仿宋_GB2312" w:hAnsi="仿宋_GB2312" w:eastAsia="仿宋_GB2312" w:cs="仿宋_GB2312"/>
                <w:color w:val="000000"/>
                <w:sz w:val="20"/>
                <w:szCs w:val="20"/>
                <w:highlight w:val="none"/>
                <w:lang w:val="en-US" w:eastAsia="zh-CN"/>
              </w:rPr>
              <w:t>30批次，3000元/批次。</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食品抽检合格率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食品市场风险隐患</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减少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减少</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食品抽检工作机制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抽检工作满意度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after="0" w:afterLines="0" w:line="4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万小会</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2024年6月20日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13975096846</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单位负责人签字：</w:t>
      </w:r>
      <w:bookmarkStart w:id="0" w:name="_GoBack"/>
      <w:bookmarkEnd w:id="0"/>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岳阳市君山区市场监督管理局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24</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36"/>
          <w:szCs w:val="36"/>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w:t>
      </w:r>
      <w:r>
        <w:rPr>
          <w:rFonts w:hint="eastAsia" w:ascii="方正小标宋简体" w:hAnsi="方正小标宋简体" w:eastAsia="方正小标宋简体" w:cs="方正小标宋简体"/>
          <w:sz w:val="36"/>
          <w:szCs w:val="36"/>
          <w:highlight w:val="none"/>
          <w:lang w:eastAsia="zh-CN"/>
        </w:rPr>
        <w:t>岳阳市君山区市场监督管理局</w:t>
      </w:r>
      <w:r>
        <w:rPr>
          <w:rFonts w:hint="eastAsia" w:ascii="方正小标宋简体" w:hAnsi="方正小标宋简体" w:eastAsia="方正小标宋简体" w:cs="方正小标宋简体"/>
          <w:sz w:val="36"/>
          <w:szCs w:val="36"/>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根据《中共湖南省委办公厅湖南省人民政府办公厅&lt;关于印发岳阳市县市区机构改革方案&gt;的通知（湘办[2019]13号），原岳阳市工商行政管理局君山分局和原君山区食品药品监督管理局组建岳阳市君山区市场监督管理局。负责全区市场综合监督管理局，负责负责全区食品、药品、医疗器械、化妆品监督管理；负责权限内食品、药品、医疗器械行政许可；组织实施食品、药品、医疗器械、化妆品监督管理，组织查处重大食品药品违法行为；承担区食安委日常工作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rPr>
          <w:rFonts w:hint="default"/>
          <w:lang w:val="en-US" w:eastAsia="zh-CN"/>
        </w:rPr>
      </w:pPr>
      <w:r>
        <w:rPr>
          <w:rFonts w:hint="eastAsia" w:ascii="仿宋" w:hAnsi="仿宋" w:eastAsia="仿宋" w:cs="仿宋"/>
          <w:kern w:val="0"/>
          <w:sz w:val="32"/>
          <w:szCs w:val="32"/>
          <w:lang w:val="en-US" w:eastAsia="zh-CN" w:bidi="ar-SA"/>
        </w:rPr>
        <w:t>2023年岳阳市君山区市场监督管理局共设有14个内设股室、1个执法大队及5个市场监管所。单位内设机构包括：办公室、政策法规股、登记注册股、食品安全协调和特殊食品监管股、食品生产经营安全监督管理股、餐饮食品安全监管和抽检监测管理股、药品医疗器械监督管理股、特种设备安全监察股、质量监督标准计量股、市场规范管理股、知识产权股、消费者权益保护股、财务股、人事股。</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2023</w:t>
      </w:r>
      <w:r>
        <w:rPr>
          <w:rFonts w:hint="eastAsia" w:ascii="仿宋" w:hAnsi="仿宋" w:eastAsia="仿宋" w:cs="仿宋"/>
          <w:sz w:val="32"/>
          <w:szCs w:val="32"/>
        </w:rPr>
        <w:t>年本部门</w:t>
      </w:r>
      <w:r>
        <w:rPr>
          <w:rFonts w:hint="eastAsia" w:ascii="仿宋" w:hAnsi="仿宋" w:eastAsia="仿宋" w:cs="仿宋"/>
          <w:sz w:val="32"/>
          <w:szCs w:val="32"/>
          <w:lang w:eastAsia="zh-CN"/>
        </w:rPr>
        <w:t>基本支出</w:t>
      </w:r>
      <w:r>
        <w:rPr>
          <w:rFonts w:hint="eastAsia" w:ascii="仿宋" w:hAnsi="仿宋" w:eastAsia="仿宋" w:cs="仿宋"/>
          <w:sz w:val="32"/>
          <w:szCs w:val="32"/>
        </w:rPr>
        <w:t>预算</w:t>
      </w:r>
      <w:r>
        <w:rPr>
          <w:rFonts w:hint="eastAsia" w:ascii="仿宋" w:hAnsi="仿宋" w:eastAsia="仿宋" w:cs="仿宋"/>
          <w:sz w:val="32"/>
          <w:szCs w:val="32"/>
          <w:lang w:val="en-US" w:eastAsia="zh-CN"/>
        </w:rPr>
        <w:t>1269.79万元：</w:t>
      </w:r>
      <w:r>
        <w:rPr>
          <w:rFonts w:hint="eastAsia" w:ascii="仿宋" w:hAnsi="仿宋" w:eastAsia="仿宋" w:cs="仿宋"/>
          <w:sz w:val="32"/>
          <w:szCs w:val="32"/>
        </w:rPr>
        <w:t>人员经费</w:t>
      </w:r>
      <w:r>
        <w:rPr>
          <w:rFonts w:hint="eastAsia" w:ascii="仿宋" w:hAnsi="仿宋" w:eastAsia="仿宋" w:cs="仿宋"/>
          <w:sz w:val="32"/>
          <w:szCs w:val="32"/>
          <w:lang w:val="en-US" w:eastAsia="zh-CN"/>
        </w:rPr>
        <w:t>1171.39</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公用经费</w:t>
      </w:r>
      <w:r>
        <w:rPr>
          <w:rFonts w:hint="eastAsia" w:ascii="仿宋" w:hAnsi="仿宋" w:eastAsia="仿宋" w:cs="仿宋"/>
          <w:sz w:val="32"/>
          <w:szCs w:val="32"/>
          <w:lang w:val="en-US" w:eastAsia="zh-CN"/>
        </w:rPr>
        <w:t>98.4</w:t>
      </w:r>
      <w:r>
        <w:rPr>
          <w:rFonts w:hint="eastAsia" w:ascii="仿宋" w:hAnsi="仿宋" w:eastAsia="仿宋" w:cs="仿宋"/>
          <w:sz w:val="32"/>
          <w:szCs w:val="32"/>
        </w:rPr>
        <w:t>万元</w:t>
      </w:r>
      <w:r>
        <w:rPr>
          <w:rFonts w:hint="eastAsia" w:ascii="仿宋" w:hAnsi="仿宋" w:eastAsia="仿宋" w:cs="仿宋"/>
          <w:sz w:val="32"/>
          <w:szCs w:val="32"/>
          <w:lang w:eastAsia="zh-CN"/>
        </w:rPr>
        <w:t>。全年预算数为</w:t>
      </w:r>
      <w:r>
        <w:rPr>
          <w:rFonts w:hint="eastAsia" w:ascii="仿宋" w:hAnsi="仿宋" w:eastAsia="仿宋" w:cs="仿宋"/>
          <w:sz w:val="32"/>
          <w:szCs w:val="32"/>
          <w:lang w:val="en-US" w:eastAsia="zh-CN"/>
        </w:rPr>
        <w:t>1834.78万元，决算数为1834.78万元，其中：人员经</w:t>
      </w:r>
      <w:r>
        <w:rPr>
          <w:rFonts w:hint="eastAsia" w:ascii="仿宋" w:hAnsi="仿宋" w:eastAsia="仿宋" w:cs="仿宋"/>
          <w:sz w:val="32"/>
          <w:szCs w:val="32"/>
          <w:lang w:eastAsia="zh-CN"/>
        </w:rPr>
        <w:t>费</w:t>
      </w:r>
      <w:r>
        <w:rPr>
          <w:rFonts w:hint="eastAsia" w:ascii="仿宋" w:hAnsi="仿宋" w:eastAsia="仿宋" w:cs="仿宋"/>
          <w:sz w:val="32"/>
          <w:szCs w:val="32"/>
          <w:lang w:val="en-US" w:eastAsia="zh-CN"/>
        </w:rPr>
        <w:t>1411.78万元，主要包括：基本工资、津贴补贴、奖金、绩效工资、伙食补助费、机关事业单位基本养老保险缴费、职工基本医疗保险缴费、其他社会保障缴费、住房公积金、离休费、退休费、其他对个人和家庭的补助；公用经费423万元，主要包括：办公费、水费、电费、邮电费、物业管理费、工会经费、其他交通费用、其他商品和服务支出。</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 xml:space="preserve">     </w:t>
      </w:r>
      <w:r>
        <w:rPr>
          <w:rFonts w:hint="eastAsia" w:eastAsia="仿宋_GB2312"/>
          <w:sz w:val="32"/>
          <w:szCs w:val="32"/>
          <w:lang w:eastAsia="zh-CN"/>
        </w:rPr>
        <w:t>2023</w:t>
      </w:r>
      <w:r>
        <w:rPr>
          <w:rFonts w:eastAsia="仿宋_GB2312"/>
          <w:sz w:val="32"/>
          <w:szCs w:val="32"/>
        </w:rPr>
        <w:t>年本部门</w:t>
      </w:r>
      <w:r>
        <w:rPr>
          <w:rFonts w:hint="eastAsia" w:eastAsia="仿宋_GB2312"/>
          <w:sz w:val="32"/>
          <w:szCs w:val="32"/>
          <w:lang w:eastAsia="zh-CN"/>
        </w:rPr>
        <w:t>项目支出</w:t>
      </w:r>
      <w:r>
        <w:rPr>
          <w:rFonts w:hint="eastAsia" w:eastAsia="仿宋_GB2312"/>
          <w:sz w:val="32"/>
          <w:szCs w:val="32"/>
        </w:rPr>
        <w:t>预算</w:t>
      </w:r>
      <w:r>
        <w:rPr>
          <w:rFonts w:hint="eastAsia" w:eastAsia="仿宋_GB2312"/>
          <w:sz w:val="32"/>
          <w:szCs w:val="32"/>
          <w:lang w:val="en-US" w:eastAsia="zh-CN"/>
        </w:rPr>
        <w:t>361</w:t>
      </w:r>
      <w:r>
        <w:rPr>
          <w:rFonts w:hint="eastAsia" w:eastAsia="仿宋_GB2312"/>
          <w:sz w:val="32"/>
          <w:szCs w:val="32"/>
        </w:rPr>
        <w:t>万元</w:t>
      </w:r>
      <w:r>
        <w:rPr>
          <w:rFonts w:hint="eastAsia" w:eastAsia="仿宋_GB2312"/>
          <w:sz w:val="32"/>
          <w:szCs w:val="32"/>
          <w:lang w:eastAsia="zh-CN"/>
        </w:rPr>
        <w:t>，</w:t>
      </w:r>
      <w:r>
        <w:rPr>
          <w:rFonts w:hint="eastAsia" w:ascii="仿宋" w:hAnsi="仿宋" w:eastAsia="仿宋" w:cs="仿宋"/>
          <w:sz w:val="32"/>
          <w:szCs w:val="32"/>
          <w:lang w:eastAsia="zh-CN"/>
        </w:rPr>
        <w:t>全年预算数为</w:t>
      </w:r>
      <w:r>
        <w:rPr>
          <w:rFonts w:hint="eastAsia" w:ascii="仿宋" w:hAnsi="仿宋" w:eastAsia="仿宋" w:cs="仿宋"/>
          <w:sz w:val="32"/>
          <w:szCs w:val="32"/>
          <w:lang w:val="en-US" w:eastAsia="zh-CN"/>
        </w:rPr>
        <w:t>262.55万元，决算数为262.55万元，</w:t>
      </w:r>
      <w:r>
        <w:rPr>
          <w:rFonts w:hint="eastAsia" w:eastAsia="仿宋_GB2312"/>
          <w:sz w:val="32"/>
          <w:szCs w:val="32"/>
        </w:rPr>
        <w:t>主要是部门为完成特定行政工作任务或事业发展目标而发生的支出，包括</w:t>
      </w:r>
      <w:r>
        <w:rPr>
          <w:rFonts w:hint="eastAsia" w:eastAsia="仿宋_GB2312"/>
          <w:sz w:val="32"/>
          <w:szCs w:val="32"/>
          <w:lang w:eastAsia="zh-CN"/>
        </w:rPr>
        <w:t>业务工作经费支出、运行维护经费、特定项目（食品及食用农产品抽检及食品安全责任保险）支出。</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政府性基金预算支出情况</w:t>
      </w:r>
      <w:r>
        <w:rPr>
          <w:rFonts w:hint="eastAsia" w:ascii="Times New Roman" w:hAnsi="Times New Roman" w:eastAsia="黑体" w:cs="Times New Roman"/>
          <w:sz w:val="32"/>
          <w:szCs w:val="32"/>
          <w:highlight w:val="none"/>
          <w:lang w:val="en-US" w:eastAsia="zh-CN"/>
        </w:rPr>
        <w:t xml:space="preserve">        无</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国有资本经营预算支出情况</w:t>
      </w: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黑体" w:cs="Times New Roman"/>
          <w:sz w:val="32"/>
          <w:szCs w:val="32"/>
          <w:highlight w:val="none"/>
          <w:lang w:eastAsia="zh-CN"/>
        </w:rPr>
        <w:t>无</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社会保险基金预算支出情况</w:t>
      </w: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黑体" w:cs="Times New Roman"/>
          <w:sz w:val="32"/>
          <w:szCs w:val="32"/>
          <w:highlight w:val="none"/>
          <w:lang w:eastAsia="zh-CN"/>
        </w:rPr>
        <w:t>无</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（一）支出预算执行情况。资金下达时本单位制定了实</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施方案，在项目实施过程中，加强对专项资金使用的管理，并按照项目资金专项检查的要求进行管理。君山区市场监督管理局积累了丰富的项目实施经验，并建立了完善的管理制度，严格按规定组织人力物力实施项目，从各方面有效保证了2023年市场监管专项资金项目的进度、质量，取得良好的经济和社会效益。</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支出绩效目标完成情况。项目绩效共性指标按区财政局文件规定分解确定，个性指标按照项目实际按相关性、重要性、必要性、可操作性原则确定。关于数量与资金方面情况，按年初设定的资金总额口径分析主要指标如下：</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1、任务完成率100%。君山区市场监管局根据区委、区</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下达的工作任务以及我区市场监管面临的形势、监管队伍建设情况的特点，资金主要安排用于市场执法监管、食品药品和医疗器械生产流通监管、稽查打假、监管队伍能力建设和市场监管科普等方面，以确保全区市场监管环境持续稳定、监管人员工作能力提升。</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2、成本节约率0。通过招标或政府采购的项目合同金额都合理控制在预算范围内，未有超标现象，并按时完成目标。</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3、关于完成时间方面情况。2023年度项目资金于2023年度完成。</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（三）整体支出绩效情况</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本年度资金项目具有明确的目标，项目实施过程中严格按照省、市有关项目管理和经费管理规定执行，资金到位及时，使用得当。单位高度负责，认真精心组织，取得了良好的社会效益，保证了资金的有效运行。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）食品安全工作成效显著。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i w:val="0"/>
          <w:caps w:val="0"/>
          <w:color w:val="auto"/>
          <w:spacing w:val="0"/>
          <w:kern w:val="0"/>
          <w:sz w:val="32"/>
          <w:szCs w:val="32"/>
          <w:shd w:val="clear" w:color="auto" w:fill="FFFFFF"/>
          <w:lang w:val="en-US" w:eastAsia="zh-CN" w:bidi="ar"/>
        </w:rPr>
        <w:t>一是食品安全“两个责任”全市领先。</w:t>
      </w:r>
      <w:r>
        <w:rPr>
          <w:rFonts w:hint="eastAsia" w:ascii="仿宋" w:hAnsi="仿宋" w:eastAsia="仿宋" w:cs="仿宋"/>
          <w:sz w:val="32"/>
          <w:szCs w:val="32"/>
          <w:lang w:val="en-US" w:eastAsia="zh-CN"/>
        </w:rPr>
        <w:t>全区责任清单、承诺书100%上传。全年度食品安全“两个责任”督导覆盖率，B、C两级主体“日周月”覆盖率、执行率全市排名第一。</w:t>
      </w:r>
      <w:r>
        <w:rPr>
          <w:rFonts w:hint="eastAsia" w:ascii="仿宋" w:hAnsi="仿宋" w:eastAsia="仿宋" w:cs="仿宋"/>
          <w:b/>
          <w:i w:val="0"/>
          <w:caps w:val="0"/>
          <w:color w:val="auto"/>
          <w:spacing w:val="0"/>
          <w:kern w:val="0"/>
          <w:sz w:val="32"/>
          <w:szCs w:val="32"/>
          <w:shd w:val="clear" w:color="auto" w:fill="FFFFFF"/>
          <w:lang w:val="en-US" w:eastAsia="zh-CN" w:bidi="ar"/>
        </w:rPr>
        <w:t>二是非现场监管成效显著。</w:t>
      </w:r>
      <w:r>
        <w:rPr>
          <w:rFonts w:hint="eastAsia" w:ascii="仿宋" w:hAnsi="仿宋" w:eastAsia="仿宋" w:cs="仿宋"/>
          <w:sz w:val="32"/>
          <w:szCs w:val="32"/>
          <w:lang w:val="en-US" w:eastAsia="zh-CN"/>
        </w:rPr>
        <w:t>区政府投入120万元，建成君山区食品安全智慧监管平台，</w:t>
      </w:r>
      <w:r>
        <w:rPr>
          <w:rFonts w:hint="eastAsia" w:ascii="仿宋" w:hAnsi="仿宋" w:eastAsia="仿宋" w:cs="仿宋"/>
          <w:b w:val="0"/>
          <w:bCs w:val="0"/>
          <w:color w:val="000000"/>
          <w:sz w:val="32"/>
          <w:szCs w:val="32"/>
          <w:lang w:val="en-US" w:eastAsia="zh-CN"/>
        </w:rPr>
        <w:t>已接入96家主体，其中</w:t>
      </w:r>
      <w:r>
        <w:rPr>
          <w:rFonts w:hint="eastAsia" w:ascii="仿宋" w:hAnsi="仿宋" w:eastAsia="仿宋" w:cs="仿宋"/>
          <w:sz w:val="32"/>
          <w:szCs w:val="32"/>
          <w:lang w:val="en-US" w:eastAsia="zh-CN"/>
        </w:rPr>
        <w:t>A、B级主体20家已全部接入平台，C级</w:t>
      </w:r>
      <w:r>
        <w:rPr>
          <w:rFonts w:hint="eastAsia" w:ascii="仿宋" w:hAnsi="仿宋" w:eastAsia="仿宋" w:cs="仿宋"/>
          <w:b w:val="0"/>
          <w:bCs w:val="0"/>
          <w:color w:val="000000"/>
          <w:sz w:val="32"/>
          <w:szCs w:val="32"/>
          <w:lang w:val="en-US" w:eastAsia="zh-CN"/>
        </w:rPr>
        <w:t>主体</w:t>
      </w:r>
      <w:r>
        <w:rPr>
          <w:rFonts w:hint="eastAsia" w:ascii="仿宋" w:hAnsi="仿宋" w:eastAsia="仿宋" w:cs="仿宋"/>
          <w:sz w:val="32"/>
          <w:szCs w:val="32"/>
          <w:lang w:val="en-US" w:eastAsia="zh-CN"/>
        </w:rPr>
        <w:t>12月30日前全面完成接入。</w:t>
      </w:r>
      <w:r>
        <w:rPr>
          <w:rFonts w:hint="eastAsia" w:ascii="仿宋" w:hAnsi="仿宋" w:eastAsia="仿宋" w:cs="仿宋"/>
          <w:b/>
          <w:i w:val="0"/>
          <w:caps w:val="0"/>
          <w:color w:val="auto"/>
          <w:spacing w:val="0"/>
          <w:kern w:val="0"/>
          <w:sz w:val="32"/>
          <w:szCs w:val="32"/>
          <w:shd w:val="clear" w:color="auto" w:fill="FFFFFF"/>
          <w:lang w:val="en-US" w:eastAsia="zh-CN" w:bidi="ar"/>
        </w:rPr>
        <w:t>三是食品安全责任保险强力推进。</w:t>
      </w:r>
      <w:r>
        <w:rPr>
          <w:rFonts w:hint="eastAsia" w:ascii="仿宋" w:hAnsi="仿宋" w:eastAsia="仿宋" w:cs="仿宋"/>
          <w:sz w:val="32"/>
          <w:szCs w:val="32"/>
          <w:lang w:val="en-US" w:eastAsia="zh-CN"/>
        </w:rPr>
        <w:t>2021年起区政府每年安排专项资金20万元用于农村集体聚餐食品安全责任保险，今年增加10万元用于补助食品生产经营单位购买食品安全责任保险，提升经营主体参保主动性。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）知识产权</w:t>
      </w:r>
      <w:r>
        <w:rPr>
          <w:rFonts w:hint="eastAsia" w:ascii="仿宋" w:hAnsi="仿宋" w:eastAsia="仿宋" w:cs="仿宋"/>
          <w:b/>
          <w:bCs/>
          <w:sz w:val="32"/>
          <w:szCs w:val="32"/>
          <w:lang w:val="en-US" w:eastAsia="zh-CN"/>
        </w:rPr>
        <w:t>保护</w:t>
      </w:r>
      <w:r>
        <w:rPr>
          <w:rFonts w:hint="eastAsia" w:ascii="仿宋" w:hAnsi="仿宋" w:eastAsia="仿宋" w:cs="仿宋"/>
          <w:b/>
          <w:bCs/>
          <w:sz w:val="32"/>
          <w:szCs w:val="32"/>
          <w:lang w:eastAsia="zh-CN"/>
        </w:rPr>
        <w:t>运用</w:t>
      </w:r>
      <w:r>
        <w:rPr>
          <w:rFonts w:hint="eastAsia" w:ascii="仿宋" w:hAnsi="仿宋" w:eastAsia="仿宋" w:cs="仿宋"/>
          <w:b/>
          <w:bCs/>
          <w:sz w:val="32"/>
          <w:szCs w:val="32"/>
          <w:lang w:val="en-US" w:eastAsia="zh-CN"/>
        </w:rPr>
        <w:t>凸显</w:t>
      </w:r>
      <w:r>
        <w:rPr>
          <w:rFonts w:hint="eastAsia" w:ascii="仿宋" w:hAnsi="仿宋" w:eastAsia="仿宋" w:cs="仿宋"/>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lang w:val="en-US" w:eastAsia="zh-CN"/>
        </w:rPr>
        <w:t>截至三季度，我区新增注册商标190件，有效商标总数2188件，同比增长10%。发明专利授权数9件，每万人有效发明专利拥有量达2.665件，同比增长12%。全区共有有效发明专利53件，其中马德里国际商标注册4件，PCT国际发明专利1件。授权许可28家企业使用5件地理标志证明商标，实现辖区地理标志证明商标专用标志许可使用全覆盖。2023年7月，与武汉硚口区、洪湖市签订跨区域知识产权联合保护合作协议，并开展知识产权跨区域保护联合执法行动。</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经营主体培育增量可观。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今年新增各类市场主体2036户（其中，新增各类企业1117户），完成市下达任务增长数的100.4%（其中，新增企业完成下达任务数的197%），新增“个转企”任务数40户，完成市下达任务100%。截至12月19日，全区共有各类市场主体18281户，同比增长17.3%，其中企业3648户，同比增长50.1%；个体户14633户，同比增长11.5%。</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1、运行维护经费开支预算与决算数存在一定差距，项目开支到基层所力度还有待加强，项目支付效益有待进一步加强。</w:t>
      </w:r>
      <w:r>
        <w:rPr>
          <w:rFonts w:hint="eastAsia" w:ascii="仿宋" w:hAnsi="仿宋" w:eastAsia="仿宋" w:cs="仿宋"/>
          <w:kern w:val="0"/>
          <w:sz w:val="32"/>
          <w:szCs w:val="32"/>
          <w:lang w:val="en-US" w:eastAsia="zh-CN" w:bidi="ar-SA"/>
        </w:rPr>
        <w:br w:type="textWrapping"/>
      </w:r>
      <w:r>
        <w:rPr>
          <w:rFonts w:hint="eastAsia" w:ascii="仿宋" w:hAnsi="仿宋" w:eastAsia="仿宋" w:cs="仿宋"/>
          <w:kern w:val="0"/>
          <w:sz w:val="32"/>
          <w:szCs w:val="32"/>
          <w:lang w:val="en-US" w:eastAsia="zh-CN" w:bidi="ar-SA"/>
        </w:rPr>
        <w:t xml:space="preserve">    2、基层财务人员业务能力有待提高。</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ind w:firstLine="640" w:firstLineChars="200"/>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进一步加强项目支出的预算管理；增强财务预算执行情况的控制分析，进一步加强会计基础核算工作，为领导决策提供有用的决策信息。进一步加强财务日常监督工作，严格执行国家财经纪律，保证财务工作的真实、完整，维护全局整体利益。</w:t>
      </w:r>
      <w:r>
        <w:rPr>
          <w:rFonts w:hint="eastAsia" w:ascii="仿宋" w:hAnsi="仿宋" w:eastAsia="仿宋" w:cs="仿宋"/>
          <w:kern w:val="0"/>
          <w:sz w:val="32"/>
          <w:szCs w:val="32"/>
          <w:lang w:val="en-US" w:eastAsia="zh-CN" w:bidi="ar-SA"/>
        </w:rPr>
        <w:br w:type="textWrapping"/>
      </w:r>
      <w:r>
        <w:rPr>
          <w:rFonts w:hint="eastAsia" w:ascii="仿宋" w:hAnsi="仿宋" w:eastAsia="仿宋" w:cs="仿宋"/>
          <w:kern w:val="0"/>
          <w:sz w:val="32"/>
          <w:szCs w:val="32"/>
          <w:lang w:val="en-US" w:eastAsia="zh-CN" w:bidi="ar-SA"/>
        </w:rPr>
        <w:t xml:space="preserve">    2、按财政预算及拨付项目内容严格对项目资金使用进行管理和规范。</w:t>
      </w:r>
      <w:r>
        <w:rPr>
          <w:rFonts w:hint="eastAsia" w:ascii="仿宋" w:hAnsi="仿宋" w:eastAsia="仿宋" w:cs="仿宋"/>
          <w:kern w:val="0"/>
          <w:sz w:val="32"/>
          <w:szCs w:val="32"/>
          <w:lang w:val="en-US" w:eastAsia="zh-CN" w:bidi="ar-SA"/>
        </w:rPr>
        <w:br w:type="textWrapping"/>
      </w:r>
      <w:r>
        <w:rPr>
          <w:rFonts w:hint="eastAsia" w:ascii="仿宋" w:hAnsi="仿宋" w:eastAsia="仿宋" w:cs="仿宋"/>
          <w:kern w:val="0"/>
          <w:sz w:val="32"/>
          <w:szCs w:val="32"/>
          <w:lang w:val="en-US" w:eastAsia="zh-CN" w:bidi="ar-SA"/>
        </w:rPr>
        <w:t xml:space="preserve">    3、做好增收节支，合理、合法、科学、民主理财。</w:t>
      </w:r>
      <w:r>
        <w:rPr>
          <w:rFonts w:hint="eastAsia" w:ascii="仿宋" w:hAnsi="仿宋" w:eastAsia="仿宋" w:cs="仿宋"/>
          <w:kern w:val="0"/>
          <w:sz w:val="32"/>
          <w:szCs w:val="32"/>
          <w:lang w:val="en-US" w:eastAsia="zh-CN" w:bidi="ar-SA"/>
        </w:rPr>
        <w:br w:type="textWrapping"/>
      </w:r>
      <w:r>
        <w:rPr>
          <w:rFonts w:hint="eastAsia" w:ascii="仿宋" w:hAnsi="仿宋" w:eastAsia="仿宋" w:cs="仿宋"/>
          <w:kern w:val="0"/>
          <w:sz w:val="32"/>
          <w:szCs w:val="32"/>
          <w:lang w:val="en-US" w:eastAsia="zh-CN" w:bidi="ar-SA"/>
        </w:rPr>
        <w:t xml:space="preserve">    4、针对我局监管项目多，范围广，增加相应的专项资金，满足各项监管工作的资金需要。</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ind w:firstLine="640" w:firstLineChars="200"/>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根据区财政相关部门统一部署，我单位2023年部门整体支出绩效自评情况将在楼区政府门户网站公开，接受社会监督。对绩效自评工作中发现的问题及时整改，解决好绩效评价管理中存在的问题，提高工作效能。根据部门整体支出绩效评价指标及评分标准，2023年我单位部门整体绩效评价自评分为100分。</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68436"/>
    <w:multiLevelType w:val="singleLevel"/>
    <w:tmpl w:val="E5368436"/>
    <w:lvl w:ilvl="0" w:tentative="0">
      <w:start w:val="2"/>
      <w:numFmt w:val="chineseCounting"/>
      <w:suff w:val="nothing"/>
      <w:lvlText w:val="（%1）"/>
      <w:lvlJc w:val="left"/>
      <w:rPr>
        <w:rFonts w:hint="eastAsia"/>
      </w:rPr>
    </w:lvl>
  </w:abstractNum>
  <w:abstractNum w:abstractNumId="1">
    <w:nsid w:val="E84E31AB"/>
    <w:multiLevelType w:val="singleLevel"/>
    <w:tmpl w:val="E84E31AB"/>
    <w:lvl w:ilvl="0" w:tentative="0">
      <w:start w:val="3"/>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79123058"/>
    <w:multiLevelType w:val="singleLevel"/>
    <w:tmpl w:val="79123058"/>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MWQ5MjkxOGQ4YmJhYzkxZTk5MWEwMjdlN2IyZGQifQ=="/>
  </w:docVars>
  <w:rsids>
    <w:rsidRoot w:val="59886344"/>
    <w:rsid w:val="08E7715F"/>
    <w:rsid w:val="0A493353"/>
    <w:rsid w:val="0D4B3510"/>
    <w:rsid w:val="10D64C0A"/>
    <w:rsid w:val="11907A46"/>
    <w:rsid w:val="130A5C8F"/>
    <w:rsid w:val="14F94CC0"/>
    <w:rsid w:val="162F53CC"/>
    <w:rsid w:val="1A6D674F"/>
    <w:rsid w:val="1CB41354"/>
    <w:rsid w:val="1D161D42"/>
    <w:rsid w:val="1DBE272D"/>
    <w:rsid w:val="274E2D73"/>
    <w:rsid w:val="28156AE2"/>
    <w:rsid w:val="29684C23"/>
    <w:rsid w:val="2A0D5946"/>
    <w:rsid w:val="2A5C1A3B"/>
    <w:rsid w:val="2DDC3160"/>
    <w:rsid w:val="2F5D0912"/>
    <w:rsid w:val="31AC1B10"/>
    <w:rsid w:val="3469156C"/>
    <w:rsid w:val="3A1B3F3E"/>
    <w:rsid w:val="40941513"/>
    <w:rsid w:val="4103763A"/>
    <w:rsid w:val="44DE1B9E"/>
    <w:rsid w:val="4AAE5276"/>
    <w:rsid w:val="4B587758"/>
    <w:rsid w:val="50D076DA"/>
    <w:rsid w:val="59886344"/>
    <w:rsid w:val="59C40D4C"/>
    <w:rsid w:val="61275C2C"/>
    <w:rsid w:val="64431A63"/>
    <w:rsid w:val="65B82922"/>
    <w:rsid w:val="6954459A"/>
    <w:rsid w:val="6A962AC7"/>
    <w:rsid w:val="6F7246F2"/>
    <w:rsid w:val="77BD5239"/>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99"/>
    <w:pPr>
      <w:spacing w:before="120" w:after="200" w:line="276" w:lineRule="auto"/>
    </w:pPr>
    <w:rPr>
      <w:rFonts w:ascii="Arial" w:hAnsi="Arial"/>
      <w:sz w:val="24"/>
    </w:r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Heading3"/>
    <w:basedOn w:val="1"/>
    <w:next w:val="1"/>
    <w:autoRedefine/>
    <w:qFormat/>
    <w:uiPriority w:val="99"/>
    <w:pPr>
      <w:keepNext/>
      <w:keepLines/>
      <w:spacing w:line="560" w:lineRule="exact"/>
      <w:textAlignment w:val="baseline"/>
    </w:pPr>
    <w:rPr>
      <w:rFonts w:ascii="Calibri" w:hAnsi="Calibri" w:cs="Calibri"/>
      <w:b/>
      <w:bCs/>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5598</Words>
  <Characters>6269</Characters>
  <Lines>0</Lines>
  <Paragraphs>0</Paragraphs>
  <TotalTime>2</TotalTime>
  <ScaleCrop>false</ScaleCrop>
  <LinksUpToDate>false</LinksUpToDate>
  <CharactersWithSpaces>6807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万小会</cp:lastModifiedBy>
  <cp:lastPrinted>2024-06-20T02:32:00Z</cp:lastPrinted>
  <dcterms:modified xsi:type="dcterms:W3CDTF">2024-06-26T06:21:06Z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