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中共岳阳市君山区委机构编制委员会办公室</w:t>
      </w:r>
      <w:r>
        <w:rPr>
          <w:rFonts w:hint="eastAsia" w:ascii="方正小标宋简体" w:hAnsi="方正小标宋简体" w:eastAsia="方正小标宋简体" w:cs="方正小标宋简体"/>
          <w:sz w:val="44"/>
          <w:szCs w:val="44"/>
        </w:rPr>
        <w:t>整体支出绩效自评报告</w:t>
      </w: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both"/>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部门（单位）名称：</w:t>
      </w:r>
      <w:r>
        <w:rPr>
          <w:rFonts w:hint="default" w:ascii="Times New Roman" w:hAnsi="Times New Roman" w:eastAsia="仿宋_GB2312" w:cs="Times New Roman"/>
          <w:sz w:val="28"/>
          <w:szCs w:val="28"/>
          <w:u w:val="single"/>
        </w:rPr>
        <w:t>中共岳阳市君山区委机构编制委员会办公室</w:t>
      </w:r>
    </w:p>
    <w:p>
      <w:pPr>
        <w:spacing w:line="60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2024</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20</w:t>
      </w:r>
      <w:bookmarkStart w:id="0" w:name="_GoBack"/>
      <w:bookmarkEnd w:id="0"/>
      <w:r>
        <w:rPr>
          <w:rFonts w:hint="default" w:ascii="Times New Roman" w:hAnsi="Times New Roman" w:eastAsia="仿宋_GB2312" w:cs="Times New Roman"/>
          <w:sz w:val="28"/>
          <w:szCs w:val="28"/>
        </w:rPr>
        <w:t>日</w:t>
      </w: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kinsoku/>
        <w:wordWrap/>
        <w:overflowPunct/>
        <w:topLinePunct w:val="0"/>
        <w:autoSpaceDE/>
        <w:autoSpaceDN/>
        <w:bidi w:val="0"/>
        <w:adjustRightInd/>
        <w:snapToGrid/>
        <w:spacing w:line="560" w:lineRule="exact"/>
        <w:ind w:firstLine="440" w:firstLineChars="1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度中共岳阳市君山区委机构编制委员会办公室整体</w:t>
      </w:r>
      <w:r>
        <w:rPr>
          <w:rFonts w:hint="eastAsia" w:ascii="方正小标宋简体" w:hAnsi="方正小标宋简体" w:eastAsia="方正小标宋简体" w:cs="方正小标宋简体"/>
          <w:sz w:val="44"/>
          <w:szCs w:val="44"/>
        </w:rPr>
        <w:t>支</w:t>
      </w:r>
      <w:r>
        <w:rPr>
          <w:rFonts w:hint="eastAsia" w:ascii="方正小标宋简体" w:hAnsi="方正小标宋简体" w:eastAsia="方正小标宋简体" w:cs="方正小标宋简体"/>
          <w:sz w:val="44"/>
          <w:szCs w:val="44"/>
          <w:lang w:val="en-US" w:eastAsia="zh-CN"/>
        </w:rPr>
        <w:t>出</w:t>
      </w: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ascii="黑体" w:hAnsi="黑体" w:eastAsia="黑体" w:cs="Arial"/>
          <w:color w:val="333333"/>
          <w:kern w:val="0"/>
          <w:sz w:val="24"/>
        </w:rPr>
      </w:pPr>
      <w:r>
        <w:rPr>
          <w:rFonts w:hint="eastAsia" w:ascii="仿宋" w:hAnsi="仿宋" w:eastAsia="仿宋" w:cs="仿宋_GB2312"/>
          <w:kern w:val="0"/>
          <w:sz w:val="32"/>
          <w:szCs w:val="32"/>
        </w:rPr>
        <w:t>1</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贯彻执行党和国家关于行政管理体制改革和机构改革及机构编制工作的方针、政策和法规，拟定我区行政管理体制改革和机构改革及机构编制工作的政策、法规，统一管理全区各级党政机关和人大、政协及人民团体机关</w:t>
      </w:r>
      <w:r>
        <w:rPr>
          <w:rFonts w:hint="eastAsia" w:eastAsia="仿宋" w:cs="仿宋_GB2312"/>
          <w:kern w:val="0"/>
          <w:sz w:val="32"/>
          <w:szCs w:val="32"/>
          <w:lang w:val="en-US" w:eastAsia="zh-CN"/>
        </w:rPr>
        <w:t>的</w:t>
      </w:r>
      <w:r>
        <w:rPr>
          <w:rFonts w:hint="eastAsia" w:ascii="仿宋" w:hAnsi="仿宋" w:eastAsia="仿宋" w:cs="仿宋_GB2312"/>
          <w:kern w:val="0"/>
          <w:sz w:val="32"/>
          <w:szCs w:val="32"/>
        </w:rPr>
        <w:t>机构编制工作，检查监督各级行政管理体制改革和机构改革方案以及机构编制的执行情况。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ascii="黑体" w:hAnsi="黑体" w:eastAsia="黑体" w:cs="Arial"/>
          <w:color w:val="333333"/>
          <w:kern w:val="0"/>
          <w:sz w:val="24"/>
        </w:rPr>
      </w:pPr>
      <w:r>
        <w:rPr>
          <w:rFonts w:hint="eastAsia" w:ascii="仿宋" w:hAnsi="仿宋" w:eastAsia="仿宋" w:cs="仿宋_GB2312"/>
          <w:kern w:val="0"/>
          <w:sz w:val="32"/>
          <w:szCs w:val="32"/>
          <w:lang w:val="en-US" w:eastAsia="zh-CN"/>
        </w:rPr>
        <w:t>2</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研究拟定全区行政管理体制改革与机构改革方案及有关规定;指导、协调各级行政管理体制改革和机构改革以及机构编制管理工作。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ascii="黑体" w:hAnsi="黑体" w:eastAsia="黑体" w:cs="Arial"/>
          <w:color w:val="333333"/>
          <w:kern w:val="0"/>
          <w:sz w:val="24"/>
        </w:rPr>
      </w:pPr>
      <w:r>
        <w:rPr>
          <w:rFonts w:hint="eastAsia" w:ascii="仿宋" w:hAnsi="仿宋" w:eastAsia="仿宋" w:cs="仿宋_GB2312"/>
          <w:kern w:val="0"/>
          <w:sz w:val="32"/>
          <w:szCs w:val="32"/>
          <w:lang w:val="en-US" w:eastAsia="zh-CN"/>
        </w:rPr>
        <w:t>3</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协调区委、区政府各部门的职能配置及其调整;协调区委各部门之间、区政府各部门之间、区委各部门与区政府各部门之间以及各部门与镇办之间的职责分工。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ascii="黑体" w:hAnsi="黑体" w:eastAsia="黑体" w:cs="Arial"/>
          <w:color w:val="333333"/>
          <w:kern w:val="0"/>
          <w:sz w:val="24"/>
        </w:rPr>
      </w:pP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审核区人大、区政协</w:t>
      </w:r>
      <w:r>
        <w:rPr>
          <w:rFonts w:hint="eastAsia" w:eastAsia="仿宋" w:cs="仿宋_GB2312"/>
          <w:kern w:val="0"/>
          <w:sz w:val="32"/>
          <w:szCs w:val="32"/>
          <w:lang w:val="en-US" w:eastAsia="zh-CN"/>
        </w:rPr>
        <w:t>及</w:t>
      </w:r>
      <w:r>
        <w:rPr>
          <w:rFonts w:hint="eastAsia" w:ascii="仿宋" w:hAnsi="仿宋" w:eastAsia="仿宋" w:cs="仿宋_GB2312"/>
          <w:kern w:val="0"/>
          <w:sz w:val="32"/>
          <w:szCs w:val="32"/>
        </w:rPr>
        <w:t>人民团体机关的内设机构、人员编制，协同区委组织部向区委提出领导班子职数配备的建议。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黑体" w:hAnsi="黑体" w:eastAsia="仿宋" w:cs="Arial"/>
          <w:color w:val="333333"/>
          <w:kern w:val="0"/>
          <w:sz w:val="24"/>
          <w:lang w:eastAsia="zh-CN"/>
        </w:rPr>
      </w:pPr>
      <w:r>
        <w:rPr>
          <w:rFonts w:hint="eastAsia" w:ascii="仿宋" w:hAnsi="仿宋" w:eastAsia="仿宋" w:cs="仿宋_GB2312"/>
          <w:kern w:val="0"/>
          <w:sz w:val="32"/>
          <w:szCs w:val="32"/>
          <w:lang w:val="en-US" w:eastAsia="zh-CN"/>
        </w:rPr>
        <w:t>5</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研究拟定全区事业单位管理体制和机构改革方案，负责事业单位机构编制管理工作;审核区委、区政府直属各部门所属事业单位的机构设置、人员编制;制订全区性事业单位机构编制标准;指导、协调各级各类事业单位管理体制改革和机构编制管理工作</w:t>
      </w:r>
      <w:r>
        <w:rPr>
          <w:rFonts w:hint="eastAsia" w:eastAsia="仿宋" w:cs="仿宋_GB2312"/>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ascii="仿宋" w:hAnsi="仿宋" w:eastAsia="仿宋" w:cs="仿宋_GB2312"/>
          <w:kern w:val="0"/>
          <w:sz w:val="32"/>
          <w:szCs w:val="32"/>
        </w:rPr>
      </w:pPr>
      <w:r>
        <w:rPr>
          <w:rFonts w:hint="eastAsia" w:ascii="仿宋" w:hAnsi="仿宋" w:eastAsia="仿宋" w:cs="仿宋_GB2312"/>
          <w:kern w:val="0"/>
          <w:sz w:val="32"/>
          <w:szCs w:val="32"/>
          <w:lang w:val="en-US" w:eastAsia="zh-CN"/>
        </w:rPr>
        <w:t>6</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贯彻执行国家有关事业单位登记管理的法律、法规、规章，拟定全区事业单位登记管理的规章和政策，并组织实施;负责本级登记管辖范围内事业单位的登记、年审和监督管理工作;负责事业单位登记管理的行政复议、行政诉讼应诉工作，检查监督和指导协调全区事业单位登记管理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ascii="黑体" w:hAnsi="黑体" w:eastAsia="黑体" w:cs="Arial"/>
          <w:color w:val="333333"/>
          <w:kern w:val="0"/>
          <w:sz w:val="24"/>
        </w:rPr>
      </w:pPr>
      <w:r>
        <w:rPr>
          <w:rFonts w:hint="eastAsia" w:ascii="仿宋" w:hAnsi="仿宋" w:eastAsia="仿宋" w:cs="仿宋_GB2312"/>
          <w:kern w:val="0"/>
          <w:sz w:val="32"/>
          <w:szCs w:val="32"/>
          <w:lang w:val="en-US" w:eastAsia="zh-CN"/>
        </w:rPr>
        <w:t>7</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负责机构改革和机构编制管理有关信息和采集和情况的综合，负责机构编制统计工作。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ascii="黑体" w:hAnsi="黑体" w:eastAsia="黑体" w:cs="Arial"/>
          <w:color w:val="333333"/>
          <w:kern w:val="0"/>
          <w:sz w:val="24"/>
        </w:rPr>
      </w:pPr>
      <w:r>
        <w:rPr>
          <w:rFonts w:hint="eastAsia" w:ascii="仿宋" w:hAnsi="仿宋" w:eastAsia="仿宋" w:cs="仿宋_GB2312"/>
          <w:kern w:val="0"/>
          <w:sz w:val="32"/>
          <w:szCs w:val="32"/>
          <w:lang w:val="en-US" w:eastAsia="zh-CN"/>
        </w:rPr>
        <w:t>8</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承办区委、区人民政府和区</w:t>
      </w:r>
      <w:r>
        <w:rPr>
          <w:rFonts w:hint="eastAsia" w:eastAsia="仿宋" w:cs="仿宋_GB2312"/>
          <w:kern w:val="0"/>
          <w:sz w:val="32"/>
          <w:szCs w:val="32"/>
          <w:lang w:val="en-US" w:eastAsia="zh-CN"/>
        </w:rPr>
        <w:t>委</w:t>
      </w:r>
      <w:r>
        <w:rPr>
          <w:rFonts w:hint="eastAsia" w:ascii="仿宋" w:hAnsi="仿宋" w:eastAsia="仿宋" w:cs="仿宋_GB2312"/>
          <w:kern w:val="0"/>
          <w:sz w:val="32"/>
          <w:szCs w:val="32"/>
        </w:rPr>
        <w:t>机构编制委员会交办的其他事项。</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0"/>
          <w:sz w:val="32"/>
          <w:szCs w:val="32"/>
        </w:rPr>
        <w:t>（二）机构设置</w:t>
      </w:r>
      <w:r>
        <w:rPr>
          <w:rFonts w:hint="eastAsia" w:ascii="楷体" w:hAnsi="楷体" w:eastAsia="楷体" w:cs="楷体"/>
          <w:kern w:val="0"/>
          <w:sz w:val="32"/>
          <w:szCs w:val="32"/>
          <w:lang w:val="en-US" w:eastAsia="zh-CN"/>
        </w:rPr>
        <w:t>与人员情况</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eastAsia="仿宋_GB2312"/>
          <w:sz w:val="32"/>
          <w:szCs w:val="32"/>
          <w:lang w:val="en-US" w:eastAsia="zh-CN"/>
        </w:rPr>
      </w:pPr>
      <w:r>
        <w:rPr>
          <w:rFonts w:hint="eastAsia" w:eastAsia="仿宋_GB2312"/>
          <w:sz w:val="32"/>
          <w:szCs w:val="32"/>
          <w:lang w:val="en-US" w:eastAsia="zh-CN"/>
        </w:rPr>
        <w:t>中共岳阳市君山区委机构编制委员会办公室内设3个职能股室：综合室、业务室和事登办，1个副科级事业单位区机构编制事务中心；核定区委编办行政编制4名，其中主任1名，副主任2名；全额拨款事业编制3名，其中主任1名。</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（三）单位绩效目标</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highlight w:val="none"/>
          <w:lang w:val="en-US" w:eastAsia="zh-CN" w:bidi="ar-SA"/>
        </w:rPr>
        <w:t>整体支出绩效目标：</w:t>
      </w:r>
      <w:r>
        <w:rPr>
          <w:rFonts w:hint="eastAsia" w:ascii="仿宋_GB2312" w:hAnsi="仿宋_GB2312" w:eastAsia="仿宋_GB2312" w:cs="仿宋_GB2312"/>
          <w:i w:val="0"/>
          <w:iCs w:val="0"/>
          <w:caps w:val="0"/>
          <w:color w:val="000000"/>
          <w:spacing w:val="0"/>
          <w:sz w:val="32"/>
          <w:szCs w:val="32"/>
          <w:u w:val="none"/>
        </w:rPr>
        <w:t>严格机构编制实名制管理，按时做好了人员进入、调出、调动、退休等编制调整工作，做到了 “帐帐相符、帐实相符”</w:t>
      </w:r>
      <w:r>
        <w:rPr>
          <w:rFonts w:hint="eastAsia" w:ascii="仿宋_GB2312" w:hAnsi="仿宋_GB2312" w:eastAsia="仿宋_GB2312" w:cs="仿宋_GB2312"/>
          <w:i w:val="0"/>
          <w:iCs w:val="0"/>
          <w:caps w:val="0"/>
          <w:color w:val="000000"/>
          <w:spacing w:val="0"/>
          <w:sz w:val="32"/>
          <w:szCs w:val="32"/>
          <w:u w:val="none"/>
          <w:lang w:val="en-US" w:eastAsia="zh-CN"/>
        </w:rPr>
        <w:t>；优化体制机制,全区事业单位机构管理、编制使用及人员流动进一步严格规范管理。</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highlight w:val="none"/>
          <w:lang w:val="en-US" w:eastAsia="zh-CN" w:bidi="ar-SA"/>
        </w:rPr>
        <w:t>项目支出绩效目标：</w:t>
      </w:r>
      <w:r>
        <w:rPr>
          <w:rFonts w:hint="eastAsia" w:ascii="仿宋_GB2312" w:hAnsi="仿宋_GB2312" w:eastAsia="仿宋_GB2312" w:cs="仿宋_GB2312"/>
          <w:kern w:val="2"/>
          <w:sz w:val="32"/>
          <w:szCs w:val="32"/>
          <w:lang w:val="en-US" w:eastAsia="zh-CN" w:bidi="ar-SA"/>
        </w:rPr>
        <w:t xml:space="preserve">2023年度本单位无项目支出。             </w:t>
      </w:r>
      <w:r>
        <w:rPr>
          <w:rFonts w:hint="eastAsia" w:ascii="仿宋_GB2312" w:hAnsi="仿宋_GB2312" w:eastAsia="仿宋_GB2312" w:cs="仿宋_GB2312"/>
          <w:color w:val="0000FF"/>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2023年我办部门预算资金122.46万元（基本支出122.46万元，项目支出0万元），全年实际支出122.46万元，其中基本支出122.46万元，项目支出0万元，预算执行率100%。　　　　　　</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（一）基本支出情况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2023年度全年预算122.46万元（工资福利支出90.15万元、商品和服务支出32.31万元、对个人和家庭的补助0万元），其中一般公共预算财政拨款122.46万元。本单位2023年度基本支出54.16万元（工资福利支出90.15万元、商品和服务支出32.31万元、资本性支出0万元、对个人和家庭的补助0万元），其中人员经费90.15万元，公用经费32.31万元。</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bidi="ar-SA"/>
        </w:rPr>
        <w:t>基本支出主要</w:t>
      </w:r>
      <w:r>
        <w:rPr>
          <w:rFonts w:hint="eastAsia" w:eastAsia="仿宋_GB2312" w:cs="仿宋_GB2312"/>
          <w:kern w:val="0"/>
          <w:sz w:val="32"/>
          <w:szCs w:val="32"/>
          <w:lang w:eastAsia="zh-CN"/>
        </w:rPr>
        <w:t>是指为保障单位机构正常运转、完成日常工作任务而发生的各项支出，包括用于基本工资、</w:t>
      </w:r>
      <w:r>
        <w:rPr>
          <w:rFonts w:hint="eastAsia" w:eastAsia="仿宋_GB2312" w:cs="仿宋_GB2312"/>
          <w:kern w:val="0"/>
          <w:sz w:val="32"/>
          <w:szCs w:val="32"/>
          <w:lang w:val="en-US" w:eastAsia="zh-CN"/>
        </w:rPr>
        <w:t>绩效工资、</w:t>
      </w:r>
      <w:r>
        <w:rPr>
          <w:rFonts w:hint="eastAsia" w:eastAsia="仿宋_GB2312" w:cs="仿宋_GB2312"/>
          <w:kern w:val="0"/>
          <w:sz w:val="32"/>
          <w:szCs w:val="32"/>
          <w:lang w:eastAsia="zh-CN"/>
        </w:rPr>
        <w:t>津贴补贴、</w:t>
      </w:r>
      <w:r>
        <w:rPr>
          <w:rFonts w:hint="eastAsia" w:eastAsia="仿宋_GB2312" w:cs="仿宋_GB2312"/>
          <w:kern w:val="0"/>
          <w:sz w:val="32"/>
          <w:szCs w:val="32"/>
          <w:lang w:val="en-US" w:eastAsia="zh-CN"/>
        </w:rPr>
        <w:t>社会保障缴费</w:t>
      </w:r>
      <w:r>
        <w:rPr>
          <w:rFonts w:hint="eastAsia" w:eastAsia="仿宋_GB2312" w:cs="仿宋_GB2312"/>
          <w:kern w:val="0"/>
          <w:sz w:val="32"/>
          <w:szCs w:val="32"/>
          <w:lang w:eastAsia="zh-CN"/>
        </w:rPr>
        <w:t>等人员经费，办公费、印刷费、差旅费、</w:t>
      </w:r>
      <w:r>
        <w:rPr>
          <w:rFonts w:hint="eastAsia" w:eastAsia="仿宋_GB2312" w:cs="仿宋_GB2312"/>
          <w:kern w:val="0"/>
          <w:sz w:val="32"/>
          <w:szCs w:val="32"/>
          <w:lang w:val="en-US" w:eastAsia="zh-CN"/>
        </w:rPr>
        <w:t>公务接待费、维修（护）费</w:t>
      </w:r>
      <w:r>
        <w:rPr>
          <w:rFonts w:hint="eastAsia" w:eastAsia="仿宋_GB2312" w:cs="仿宋_GB2312"/>
          <w:kern w:val="0"/>
          <w:sz w:val="32"/>
          <w:szCs w:val="32"/>
          <w:lang w:eastAsia="zh-CN"/>
        </w:rPr>
        <w:t>等日常公用经费</w:t>
      </w:r>
      <w:r>
        <w:rPr>
          <w:rFonts w:hint="eastAsia" w:eastAsia="仿宋_GB2312" w:cs="仿宋_GB2312"/>
          <w:kern w:val="0"/>
          <w:sz w:val="32"/>
          <w:szCs w:val="32"/>
          <w:lang w:val="en-US" w:eastAsia="zh-CN"/>
        </w:rPr>
        <w:t>等其他对个人和家庭的补助支出。</w:t>
      </w:r>
    </w:p>
    <w:p>
      <w:pPr>
        <w:pStyle w:val="10"/>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b w:val="0"/>
          <w:bCs/>
          <w:sz w:val="32"/>
          <w:szCs w:val="32"/>
        </w:rPr>
      </w:pPr>
      <w:r>
        <w:rPr>
          <w:rFonts w:hint="eastAsia" w:ascii="楷体" w:hAnsi="楷体" w:eastAsia="楷体" w:cs="楷体"/>
          <w:b w:val="0"/>
          <w:bCs/>
          <w:sz w:val="32"/>
          <w:szCs w:val="32"/>
        </w:rPr>
        <w:t>项目支出情况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本单位2023年度项目支出全年预算</w:t>
      </w:r>
      <w:r>
        <w:rPr>
          <w:rFonts w:hint="eastAsia" w:ascii="仿宋_GB2312" w:hAnsi="仿宋_GB2312" w:eastAsia="仿宋_GB2312" w:cs="仿宋_GB2312"/>
          <w:kern w:val="2"/>
          <w:sz w:val="32"/>
          <w:szCs w:val="32"/>
          <w:highlight w:val="none"/>
          <w:lang w:val="en-US" w:eastAsia="zh-CN" w:bidi="ar-SA"/>
        </w:rPr>
        <w:t>0</w:t>
      </w:r>
      <w:r>
        <w:rPr>
          <w:rFonts w:hint="eastAsia" w:ascii="仿宋_GB2312" w:hAnsi="仿宋_GB2312" w:eastAsia="仿宋_GB2312" w:cs="仿宋_GB2312"/>
          <w:kern w:val="2"/>
          <w:sz w:val="32"/>
          <w:szCs w:val="32"/>
          <w:lang w:val="en-US" w:eastAsia="zh-CN" w:bidi="ar-SA"/>
        </w:rPr>
        <w:t>万元。</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无此项支出。</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国有资本经营预算支出情况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无此项支出。</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社会保险基金预算支出情况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无此项支出。</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部门整体支出绩效情况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Times New Roman" w:hAnsi="Times New Roman" w:eastAsia="黑体" w:cs="Times New Roman"/>
          <w:sz w:val="32"/>
          <w:szCs w:val="32"/>
          <w:lang w:eastAsia="zh-CN"/>
        </w:rPr>
        <w:t>　　</w:t>
      </w:r>
      <w:r>
        <w:rPr>
          <w:rFonts w:hint="default" w:ascii="仿宋_GB2312" w:hAnsi="仿宋_GB2312" w:eastAsia="仿宋_GB2312" w:cs="仿宋_GB2312"/>
          <w:kern w:val="2"/>
          <w:sz w:val="32"/>
          <w:szCs w:val="32"/>
          <w:lang w:val="en-US" w:eastAsia="zh-CN" w:bidi="ar-SA"/>
        </w:rPr>
        <w:t>2023年，我</w:t>
      </w:r>
      <w:r>
        <w:rPr>
          <w:rFonts w:hint="eastAsia" w:ascii="仿宋_GB2312" w:hAnsi="仿宋_GB2312" w:eastAsia="仿宋_GB2312" w:cs="仿宋_GB2312"/>
          <w:kern w:val="2"/>
          <w:sz w:val="32"/>
          <w:szCs w:val="32"/>
          <w:lang w:val="en-US" w:eastAsia="zh-CN" w:bidi="ar-SA"/>
        </w:rPr>
        <w:t>办</w:t>
      </w:r>
      <w:r>
        <w:rPr>
          <w:rFonts w:hint="default" w:ascii="仿宋_GB2312" w:hAnsi="仿宋_GB2312" w:eastAsia="仿宋_GB2312" w:cs="仿宋_GB2312"/>
          <w:kern w:val="2"/>
          <w:sz w:val="32"/>
          <w:szCs w:val="32"/>
          <w:lang w:val="en-US" w:eastAsia="zh-CN" w:bidi="ar-SA"/>
        </w:rPr>
        <w:t>积极履职，资金管理规范，</w:t>
      </w:r>
      <w:r>
        <w:rPr>
          <w:rFonts w:hint="eastAsia" w:ascii="仿宋_GB2312" w:hAnsi="仿宋_GB2312" w:eastAsia="仿宋_GB2312" w:cs="仿宋_GB2312"/>
          <w:kern w:val="2"/>
          <w:sz w:val="32"/>
          <w:szCs w:val="32"/>
          <w:lang w:val="en-US" w:eastAsia="zh-CN" w:bidi="ar-SA"/>
        </w:rPr>
        <w:t>资产</w:t>
      </w:r>
      <w:r>
        <w:rPr>
          <w:rFonts w:hint="default" w:ascii="仿宋_GB2312" w:hAnsi="仿宋_GB2312" w:eastAsia="仿宋_GB2312" w:cs="仿宋_GB2312"/>
          <w:kern w:val="2"/>
          <w:sz w:val="32"/>
          <w:szCs w:val="32"/>
          <w:lang w:val="en-US" w:eastAsia="zh-CN" w:bidi="ar-SA"/>
        </w:rPr>
        <w:t>管理到位，政策执行有力，较好地完成了年度工作目标，有效发挥了财政资金的使用效率。在人员经费支出上</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严格执行上级的各项制度;在</w:t>
      </w:r>
      <w:r>
        <w:rPr>
          <w:rFonts w:hint="eastAsia" w:ascii="仿宋_GB2312" w:hAnsi="仿宋_GB2312" w:eastAsia="仿宋_GB2312" w:cs="仿宋_GB2312"/>
          <w:kern w:val="2"/>
          <w:sz w:val="32"/>
          <w:szCs w:val="32"/>
          <w:lang w:val="en-US" w:eastAsia="zh-CN" w:bidi="ar-SA"/>
        </w:rPr>
        <w:t>公用</w:t>
      </w:r>
      <w:r>
        <w:rPr>
          <w:rFonts w:hint="default" w:ascii="仿宋_GB2312" w:hAnsi="仿宋_GB2312" w:eastAsia="仿宋_GB2312" w:cs="仿宋_GB2312"/>
          <w:kern w:val="2"/>
          <w:sz w:val="32"/>
          <w:szCs w:val="32"/>
          <w:lang w:val="en-US" w:eastAsia="zh-CN" w:bidi="ar-SA"/>
        </w:rPr>
        <w:t>经费使用上，</w:t>
      </w:r>
      <w:r>
        <w:rPr>
          <w:rFonts w:hint="eastAsia" w:ascii="仿宋_GB2312" w:hAnsi="仿宋_GB2312" w:eastAsia="仿宋_GB2312" w:cs="仿宋_GB2312"/>
          <w:kern w:val="2"/>
          <w:sz w:val="32"/>
          <w:szCs w:val="32"/>
          <w:lang w:val="en-US" w:eastAsia="zh-CN" w:bidi="ar-SA"/>
        </w:rPr>
        <w:t>严格执行预算</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在</w:t>
      </w:r>
      <w:r>
        <w:rPr>
          <w:rFonts w:hint="default" w:ascii="仿宋_GB2312" w:hAnsi="仿宋_GB2312" w:eastAsia="仿宋_GB2312" w:cs="仿宋_GB2312"/>
          <w:kern w:val="2"/>
          <w:sz w:val="32"/>
          <w:szCs w:val="32"/>
          <w:lang w:val="en-US" w:eastAsia="zh-CN" w:bidi="ar-SA"/>
        </w:rPr>
        <w:t>“三公”经费</w:t>
      </w:r>
      <w:r>
        <w:rPr>
          <w:rFonts w:hint="eastAsia" w:ascii="仿宋_GB2312" w:hAnsi="仿宋_GB2312" w:eastAsia="仿宋_GB2312" w:cs="仿宋_GB2312"/>
          <w:kern w:val="2"/>
          <w:sz w:val="32"/>
          <w:szCs w:val="32"/>
          <w:lang w:val="en-US" w:eastAsia="zh-CN" w:bidi="ar-SA"/>
        </w:rPr>
        <w:t>开支上，</w:t>
      </w:r>
      <w:r>
        <w:rPr>
          <w:rFonts w:hint="default" w:ascii="仿宋_GB2312" w:hAnsi="仿宋_GB2312" w:eastAsia="仿宋_GB2312" w:cs="仿宋_GB2312"/>
          <w:kern w:val="2"/>
          <w:sz w:val="32"/>
          <w:szCs w:val="32"/>
          <w:lang w:val="en-US" w:eastAsia="zh-CN" w:bidi="ar-SA"/>
        </w:rPr>
        <w:t>厉行节约，从严控制，2023年度一般公共预算</w:t>
      </w:r>
      <w:r>
        <w:rPr>
          <w:rFonts w:hint="eastAsia" w:ascii="仿宋_GB2312" w:hAnsi="仿宋_GB2312" w:eastAsia="仿宋_GB2312" w:cs="仿宋_GB2312"/>
          <w:kern w:val="2"/>
          <w:sz w:val="32"/>
          <w:szCs w:val="32"/>
          <w:lang w:val="en-US" w:eastAsia="zh-CN" w:bidi="ar-SA"/>
        </w:rPr>
        <w:t>拨</w:t>
      </w:r>
      <w:r>
        <w:rPr>
          <w:rFonts w:hint="default" w:ascii="仿宋_GB2312" w:hAnsi="仿宋_GB2312" w:eastAsia="仿宋_GB2312" w:cs="仿宋_GB2312"/>
          <w:kern w:val="2"/>
          <w:sz w:val="32"/>
          <w:szCs w:val="32"/>
          <w:lang w:val="en-US" w:eastAsia="zh-CN" w:bidi="ar-SA"/>
        </w:rPr>
        <w:t>款中“三公经费”年初预算</w:t>
      </w:r>
      <w:r>
        <w:rPr>
          <w:rFonts w:hint="eastAsia" w:ascii="仿宋_GB2312" w:hAnsi="仿宋_GB2312" w:eastAsia="仿宋_GB2312" w:cs="仿宋_GB2312"/>
          <w:kern w:val="2"/>
          <w:sz w:val="32"/>
          <w:szCs w:val="32"/>
          <w:lang w:val="en-US" w:eastAsia="zh-CN" w:bidi="ar-SA"/>
        </w:rPr>
        <w:t>0.15</w:t>
      </w:r>
      <w:r>
        <w:rPr>
          <w:rFonts w:hint="default" w:ascii="仿宋_GB2312" w:hAnsi="仿宋_GB2312" w:eastAsia="仿宋_GB2312" w:cs="仿宋_GB2312"/>
          <w:kern w:val="2"/>
          <w:sz w:val="32"/>
          <w:szCs w:val="32"/>
          <w:lang w:val="en-US" w:eastAsia="zh-CN" w:bidi="ar-SA"/>
        </w:rPr>
        <w:t>万元，实际支出</w:t>
      </w:r>
      <w:r>
        <w:rPr>
          <w:rFonts w:hint="eastAsia" w:ascii="仿宋_GB2312" w:hAnsi="仿宋_GB2312" w:eastAsia="仿宋_GB2312" w:cs="仿宋_GB2312"/>
          <w:kern w:val="2"/>
          <w:sz w:val="32"/>
          <w:szCs w:val="32"/>
          <w:lang w:val="en-US" w:eastAsia="zh-CN" w:bidi="ar-SA"/>
        </w:rPr>
        <w:t>0.15</w:t>
      </w:r>
      <w:r>
        <w:rPr>
          <w:rFonts w:hint="default" w:ascii="仿宋_GB2312" w:hAnsi="仿宋_GB2312" w:eastAsia="仿宋_GB2312" w:cs="仿宋_GB2312"/>
          <w:kern w:val="2"/>
          <w:sz w:val="32"/>
          <w:szCs w:val="32"/>
          <w:lang w:val="en-US" w:eastAsia="zh-CN" w:bidi="ar-SA"/>
        </w:rPr>
        <w:t>万元，为年初预算的</w:t>
      </w:r>
      <w:r>
        <w:rPr>
          <w:rFonts w:hint="eastAsia" w:ascii="仿宋_GB2312" w:hAnsi="仿宋_GB2312" w:eastAsia="仿宋_GB2312" w:cs="仿宋_GB2312"/>
          <w:kern w:val="2"/>
          <w:sz w:val="32"/>
          <w:szCs w:val="32"/>
          <w:lang w:val="en-US" w:eastAsia="zh-CN" w:bidi="ar-SA"/>
        </w:rPr>
        <w:t>100</w:t>
      </w:r>
      <w:r>
        <w:rPr>
          <w:rFonts w:hint="default" w:ascii="仿宋_GB2312" w:hAnsi="仿宋_GB2312" w:eastAsia="仿宋_GB2312" w:cs="仿宋_GB2312"/>
          <w:kern w:val="2"/>
          <w:sz w:val="32"/>
          <w:szCs w:val="32"/>
          <w:lang w:val="en-US" w:eastAsia="zh-CN" w:bidi="ar-SA"/>
        </w:rPr>
        <w:t>%。根据《部门整体支出绩效自评表》自评得分</w:t>
      </w:r>
      <w:r>
        <w:rPr>
          <w:rFonts w:hint="eastAsia" w:ascii="仿宋_GB2312" w:hAnsi="仿宋_GB2312" w:eastAsia="仿宋_GB2312" w:cs="仿宋_GB2312"/>
          <w:kern w:val="2"/>
          <w:sz w:val="32"/>
          <w:szCs w:val="32"/>
          <w:lang w:val="en-US" w:eastAsia="zh-CN" w:bidi="ar-SA"/>
        </w:rPr>
        <w:t>100</w:t>
      </w:r>
      <w:r>
        <w:rPr>
          <w:rFonts w:hint="default" w:ascii="仿宋_GB2312" w:hAnsi="仿宋_GB2312" w:eastAsia="仿宋_GB2312" w:cs="仿宋_GB2312"/>
          <w:kern w:val="2"/>
          <w:sz w:val="32"/>
          <w:szCs w:val="32"/>
          <w:lang w:val="en-US" w:eastAsia="zh-CN" w:bidi="ar-SA"/>
        </w:rPr>
        <w:t>分(详见附表2)，部门整体支出绩效为“优”</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预算财务管理方面</w:t>
      </w:r>
    </w:p>
    <w:p>
      <w:pPr>
        <w:pStyle w:val="2"/>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cs="仿宋_GB2312"/>
          <w:b/>
          <w:bCs/>
          <w:kern w:val="2"/>
          <w:sz w:val="32"/>
          <w:szCs w:val="32"/>
          <w:lang w:val="en-US" w:eastAsia="zh-CN" w:bidi="ar-SA"/>
        </w:rPr>
        <w:t>1.严格执行预算管理制度，切实降低运行成本。</w:t>
      </w:r>
      <w:r>
        <w:rPr>
          <w:rFonts w:hint="eastAsia" w:ascii="仿宋_GB2312" w:hAnsi="仿宋_GB2312" w:eastAsia="仿宋_GB2312" w:cs="仿宋_GB2312"/>
          <w:kern w:val="2"/>
          <w:sz w:val="32"/>
          <w:szCs w:val="32"/>
          <w:lang w:val="en-US" w:eastAsia="zh-CN" w:bidi="ar-SA"/>
        </w:rPr>
        <w:t>2023年，</w:t>
      </w:r>
      <w:r>
        <w:rPr>
          <w:rFonts w:hint="eastAsia" w:ascii="Times New Roman" w:hAnsi="Times New Roman" w:eastAsia="仿宋_GB2312" w:cs="Times New Roman"/>
          <w:color w:val="000000"/>
          <w:sz w:val="32"/>
          <w:szCs w:val="32"/>
          <w:lang w:val="en-US" w:eastAsia="zh-CN"/>
        </w:rPr>
        <w:t>我办严格预算管理，科学安排支出，实时把握支出进度，不断提高资金使用效益，将过“紧日子”贯穿全年，</w:t>
      </w:r>
      <w:r>
        <w:rPr>
          <w:rFonts w:hint="eastAsia" w:ascii="Times New Roman" w:hAnsi="Times New Roman" w:eastAsia="仿宋_GB2312" w:cs="Times New Roman"/>
          <w:color w:val="000000"/>
          <w:kern w:val="0"/>
          <w:sz w:val="32"/>
          <w:szCs w:val="32"/>
          <w:lang w:val="en-US" w:eastAsia="zh-CN" w:bidi="ar-SA"/>
        </w:rPr>
        <w:t>建立健全了收入、支出、政府采购、资产管理以及公务接待、差旅费等财务管理制度，对公务用车、公务租车、公务出差、公务接待、会议费等实行事前审批制度，严格控制各项支出，有效杜绝了资金浪费情况，确保了资金使用的规范性、安全性和有效性，</w:t>
      </w:r>
      <w:r>
        <w:rPr>
          <w:rFonts w:hint="eastAsia" w:ascii="Times New Roman" w:hAnsi="Times New Roman" w:eastAsia="仿宋_GB2312" w:cs="Times New Roman"/>
          <w:color w:val="000000"/>
          <w:sz w:val="32"/>
          <w:szCs w:val="32"/>
          <w:lang w:val="en-US" w:eastAsia="zh-CN"/>
        </w:rPr>
        <w:t>预算执行率达到100%，</w:t>
      </w:r>
      <w:r>
        <w:rPr>
          <w:rFonts w:hint="eastAsia" w:ascii="Times New Roman" w:hAnsi="Times New Roman" w:eastAsia="仿宋_GB2312" w:cs="Times New Roman"/>
          <w:color w:val="000000"/>
          <w:kern w:val="0"/>
          <w:sz w:val="32"/>
          <w:szCs w:val="32"/>
          <w:lang w:val="en-US" w:eastAsia="zh-CN" w:bidi="ar-SA"/>
        </w:rPr>
        <w:t>切实降低运行成本，</w:t>
      </w:r>
      <w:r>
        <w:rPr>
          <w:rFonts w:hint="eastAsia" w:ascii="Times New Roman" w:hAnsi="Times New Roman" w:eastAsia="仿宋_GB2312" w:cs="Times New Roman"/>
          <w:color w:val="000000"/>
          <w:sz w:val="32"/>
          <w:szCs w:val="32"/>
          <w:lang w:val="en-US" w:eastAsia="zh-CN"/>
        </w:rPr>
        <w:t>发挥了财政资金的最大效益。</w:t>
      </w:r>
    </w:p>
    <w:p>
      <w:pPr>
        <w:pStyle w:val="2"/>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cs="仿宋_GB2312"/>
          <w:b/>
          <w:bCs/>
          <w:kern w:val="2"/>
          <w:sz w:val="32"/>
          <w:szCs w:val="32"/>
          <w:lang w:val="en-US" w:eastAsia="zh-CN" w:bidi="ar-SA"/>
        </w:rPr>
        <w:t>2.加强资产管理，确保资产保值增值。</w:t>
      </w:r>
      <w:r>
        <w:rPr>
          <w:rFonts w:hint="eastAsia" w:ascii="Times New Roman" w:hAnsi="Times New Roman" w:eastAsia="仿宋_GB2312" w:cs="Times New Roman"/>
          <w:color w:val="000000"/>
          <w:kern w:val="0"/>
          <w:sz w:val="32"/>
          <w:szCs w:val="32"/>
          <w:lang w:val="en-US" w:eastAsia="zh-CN" w:bidi="ar-SA"/>
        </w:rPr>
        <w:t>根据政府采购和资产管理要求，建立了资产实物管理台账，根据各股室的需求制订了采购计划，按国有资产配置、政府采购和有关规定按程序在电子卖场进行采购活动。2023年底，本单位固定资产原值27.02万元，净值26.4万元，无形资产原值0万元，净值0万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（二）履职产出效益方面</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lang w:val="en-US" w:eastAsia="zh-CN"/>
        </w:rPr>
      </w:pPr>
      <w:r>
        <w:rPr>
          <w:rFonts w:hint="eastAsia" w:ascii="仿宋_GB2312" w:hAnsi="仿宋_GB2312" w:eastAsia="仿宋_GB2312" w:cs="仿宋_GB2312"/>
          <w:kern w:val="44"/>
          <w:sz w:val="32"/>
          <w:szCs w:val="32"/>
          <w:lang w:val="en-US" w:eastAsia="zh-CN" w:bidi="ar"/>
        </w:rPr>
        <w:t>1、</w:t>
      </w:r>
      <w:r>
        <w:rPr>
          <w:rFonts w:hint="eastAsia" w:ascii="仿宋_GB2312" w:hAnsi="仿宋_GB2312" w:eastAsia="仿宋_GB2312" w:cs="仿宋_GB2312"/>
          <w:i w:val="0"/>
          <w:iCs w:val="0"/>
          <w:caps w:val="0"/>
          <w:color w:val="000000"/>
          <w:spacing w:val="0"/>
          <w:sz w:val="32"/>
          <w:szCs w:val="32"/>
          <w:u w:val="none"/>
        </w:rPr>
        <w:t>在公务员招录、事业单位招聘、区外调入、政策性安置等方面井然有序，保证了年度用编计划的严格执行。</w:t>
      </w:r>
      <w:r>
        <w:rPr>
          <w:rFonts w:hint="eastAsia" w:ascii="仿宋_GB2312" w:hAnsi="仿宋_GB2312" w:eastAsia="仿宋_GB2312" w:cs="仿宋_GB2312"/>
          <w:i w:val="0"/>
          <w:iCs w:val="0"/>
          <w:caps w:val="0"/>
          <w:color w:val="000000"/>
          <w:spacing w:val="0"/>
          <w:sz w:val="32"/>
          <w:szCs w:val="32"/>
          <w:u w:val="none"/>
          <w:lang w:val="en-US" w:eastAsia="zh-CN"/>
        </w:rPr>
        <w:t>全年新入编155人，其中省委选调生公开招录5人，四海揽才25人，政策性安置60人（教育37人，卫生4人，水利6人，农业4人，退伍军人9人），教师回流、骨干教师选调41人，卫健高层次人才引进8人，组织任命5人，区外调入5人，区内外选调6人。</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CN"/>
        </w:rPr>
      </w:pPr>
      <w:r>
        <w:rPr>
          <w:rFonts w:hint="eastAsia" w:ascii="仿宋_GB2312" w:hAnsi="仿宋_GB2312" w:eastAsia="仿宋_GB2312" w:cs="仿宋_GB2312"/>
          <w:b w:val="0"/>
          <w:bCs w:val="0"/>
          <w:spacing w:val="0"/>
          <w:kern w:val="2"/>
          <w:sz w:val="32"/>
          <w:szCs w:val="32"/>
          <w:lang w:val="en-US" w:eastAsia="zh-CN" w:bidi="ar-SA"/>
        </w:rPr>
        <w:t>2、</w:t>
      </w:r>
      <w:r>
        <w:rPr>
          <w:rFonts w:hint="eastAsia" w:ascii="仿宋_GB2312" w:hAnsi="仿宋_GB2312" w:eastAsia="仿宋_GB2312" w:cs="仿宋_GB2312"/>
          <w:i w:val="0"/>
          <w:iCs w:val="0"/>
          <w:caps w:val="0"/>
          <w:color w:val="000000"/>
          <w:spacing w:val="0"/>
          <w:sz w:val="32"/>
          <w:szCs w:val="32"/>
          <w:u w:val="none"/>
          <w:lang w:val="en-US" w:eastAsia="zh-CN"/>
        </w:rPr>
        <w:t>坚持机构编制限额管理，采取精简机构、人员只出不进等政策，严格控制机构编制总量。按照“有减有增、动态平衡”要求，根据区委编委会议决定和上级机构编制部门批复意见，继续实现了全年财政供养人员负增长目标。</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　　</w:t>
      </w:r>
      <w:r>
        <w:rPr>
          <w:rFonts w:hint="default" w:ascii="Times New Roman" w:hAnsi="Times New Roman" w:eastAsia="黑体" w:cs="Times New Roman"/>
          <w:sz w:val="32"/>
          <w:szCs w:val="32"/>
        </w:rPr>
        <w:t>七、存在的问题及原因分析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kern w:val="2"/>
          <w:sz w:val="32"/>
          <w:szCs w:val="32"/>
          <w:lang w:val="en-US" w:eastAsia="zh-CN" w:bidi="ar-SA"/>
        </w:rPr>
        <w:t>（一）预算精准性有待进一步提高。</w:t>
      </w:r>
      <w:r>
        <w:rPr>
          <w:rFonts w:hint="eastAsia" w:ascii="Times New Roman" w:hAnsi="Times New Roman" w:eastAsia="仿宋_GB2312" w:cs="Times New Roman"/>
          <w:sz w:val="32"/>
          <w:szCs w:val="32"/>
          <w:lang w:val="en-US" w:eastAsia="zh-CN"/>
        </w:rPr>
        <w:t>由于预算编制具有不可预见性，年初安排预算时，对各项公用支出的分配安排缺乏统一的硬性标准，导致部分资金使用时需要进行指标调剂。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Chars="0" w:right="0" w:rightChars="0" w:firstLine="643" w:firstLineChars="200"/>
        <w:jc w:val="left"/>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kern w:val="2"/>
          <w:sz w:val="32"/>
          <w:szCs w:val="32"/>
          <w:lang w:val="en-US" w:eastAsia="zh-CN" w:bidi="ar-SA"/>
        </w:rPr>
        <w:t>（二）预算绩效管理意识有待进一步加强，预算绩效管理的工作方法方式有待创新。</w:t>
      </w:r>
      <w:r>
        <w:rPr>
          <w:rFonts w:hint="eastAsia" w:ascii="Times New Roman" w:hAnsi="Times New Roman" w:eastAsia="仿宋_GB2312" w:cs="Times New Roman"/>
          <w:sz w:val="32"/>
          <w:szCs w:val="32"/>
          <w:lang w:val="en-US" w:eastAsia="zh-CN"/>
        </w:rPr>
        <w:t>预算绩效管理工作贯穿全年，与各个业务股室息息相关，由于对预算绩效管理的全面性和重要性缺乏深入的了解，统揽全局的意识有所欠缺，导致预算绩效管理工作在推动过程中能够很好地完成各项工作任务，但工作质量难以实现质的飞跃。</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kern w:val="2"/>
          <w:sz w:val="32"/>
          <w:szCs w:val="32"/>
          <w:lang w:val="en-US" w:eastAsia="zh-CN" w:bidi="ar-SA"/>
        </w:rPr>
        <w:t>财务业务水平有待进一步提高。</w:t>
      </w:r>
      <w:r>
        <w:rPr>
          <w:rFonts w:hint="eastAsia" w:ascii="Times New Roman" w:hAnsi="Times New Roman" w:eastAsia="仿宋_GB2312" w:cs="Times New Roman"/>
          <w:sz w:val="32"/>
          <w:szCs w:val="32"/>
          <w:lang w:val="en-US" w:eastAsia="zh-CN"/>
        </w:rPr>
        <w:t>由于财务工作内容变化较大，各项制度、政策更新快，加之财务人员忙于琐碎的日常工作，对各项新知识、新业务的学习时间、精力有限，导致财务人员预算绩效管理工作水平一般，在将预算绩效管理转化成工作成果，更好地指导各项工作的开展方面有所欠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t>八、下一步改进措施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kern w:val="2"/>
          <w:sz w:val="32"/>
          <w:szCs w:val="32"/>
          <w:lang w:val="en-US" w:eastAsia="zh-CN" w:bidi="ar-SA"/>
        </w:rPr>
        <w:t>（一）加强预算编制的前瞻性，提高预算编制水平。</w:t>
      </w:r>
      <w:r>
        <w:rPr>
          <w:rFonts w:hint="eastAsia" w:ascii="Times New Roman" w:hAnsi="Times New Roman" w:eastAsia="仿宋_GB2312" w:cs="Times New Roman"/>
          <w:sz w:val="32"/>
          <w:szCs w:val="32"/>
          <w:lang w:val="en-US" w:eastAsia="zh-CN"/>
        </w:rPr>
        <w:t>进一步提高预算编制的科学性、合理性、严谨性和可控性，紧密结合上一年度预算执行情况和本年度预算收支变化因素，科学、合理地编制本年预算草案，避免出现预算支出与预算执行出现偏差较大的情况。落实预算执行分析，及时了解预算执行差异，合理调整、纠正预算执行偏差，切实提高部门预算收支管理水平。</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kern w:val="2"/>
          <w:sz w:val="32"/>
          <w:szCs w:val="32"/>
          <w:lang w:val="en-US" w:eastAsia="zh-CN" w:bidi="ar-SA"/>
        </w:rPr>
        <w:t>牢固树立预算绩效管理贯穿全局的理念，进一步创新工作方式方法。</w:t>
      </w:r>
      <w:r>
        <w:rPr>
          <w:rFonts w:hint="eastAsia" w:ascii="Times New Roman" w:hAnsi="Times New Roman" w:eastAsia="仿宋_GB2312" w:cs="Times New Roman"/>
          <w:sz w:val="32"/>
          <w:szCs w:val="32"/>
          <w:lang w:val="en-US" w:eastAsia="zh-CN"/>
        </w:rPr>
        <w:t>切实做好预算绩效管理的上传下达工作，在全单位形成将预算绩效管理意识融入到业务工作中的意识，多向优秀典型案例学习，拓宽工作思路，多想办法，想好办法，自觉提高预算绩效管理能力。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kern w:val="2"/>
          <w:sz w:val="32"/>
          <w:szCs w:val="32"/>
          <w:lang w:val="en-US" w:eastAsia="zh-CN" w:bidi="ar-SA"/>
        </w:rPr>
        <w:t>（三）加大财务人员培训力度，提高财务人员从业水平。</w:t>
      </w:r>
      <w:r>
        <w:rPr>
          <w:rFonts w:hint="eastAsia" w:ascii="Times New Roman" w:hAnsi="Times New Roman" w:eastAsia="仿宋_GB2312" w:cs="Times New Roman"/>
          <w:sz w:val="32"/>
          <w:szCs w:val="32"/>
          <w:lang w:val="en-US" w:eastAsia="zh-CN"/>
        </w:rPr>
        <w:t>督促财务人员树立常学常新的理念，及时更新知识体系，通过加大对财务人员预算绩效管理理论水平和实操的培训，提高将预算绩效管理转化成生产力的能力，更好地提高本单位的管理水平，促进各项事业更好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t>九、部门整体支出绩效自评结果拟应用和公开情况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lang w:val="en-US" w:eastAsia="zh-CN"/>
        </w:rPr>
        <w:t>对部门整体支出绩效自评在规定时间内公开至本单位门户网站，确保公开数据真实、完整、准确。</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其他需要说明的情况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pPr>
        <w:keepNext w:val="0"/>
        <w:keepLines w:val="0"/>
        <w:pageBreakBefore w:val="0"/>
        <w:widowControl w:val="0"/>
        <w:kinsoku/>
        <w:wordWrap/>
        <w:overflowPunct/>
        <w:topLinePunct w:val="0"/>
        <w:autoSpaceDE/>
        <w:autoSpaceDN/>
        <w:bidi w:val="0"/>
        <w:adjustRightInd/>
        <w:snapToGrid/>
        <w:spacing w:line="560" w:lineRule="exact"/>
        <w:ind w:left="1278" w:leftChars="342" w:hanging="320" w:hangingChars="1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85.71%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0.15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0.15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28.06</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32.31</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32.31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12.65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16.4</w:t>
            </w: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16.4</w:t>
            </w:r>
            <w:r>
              <w:rPr>
                <w:rFonts w:hint="eastAsia" w:ascii="仿宋_GB2312" w:hAnsi="仿宋_GB2312" w:eastAsia="仿宋_GB2312" w:cs="仿宋_GB2312"/>
                <w:color w:val="FF0000"/>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sz w:val="20"/>
                <w:szCs w:val="20"/>
                <w:highlight w:val="none"/>
                <w:lang w:val="en-US" w:eastAsia="zh-CN"/>
              </w:rPr>
              <w:t>0.44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0.44</w:t>
            </w:r>
            <w:r>
              <w:rPr>
                <w:rFonts w:hint="eastAsia" w:ascii="宋体" w:hAnsi="宋体" w:eastAsia="宋体" w:cs="宋体"/>
                <w:i w:val="0"/>
                <w:iCs w:val="0"/>
                <w:color w:val="000000"/>
                <w:kern w:val="0"/>
                <w:sz w:val="22"/>
                <w:szCs w:val="22"/>
                <w:u w:val="none"/>
                <w:lang w:val="en-US" w:eastAsia="zh-CN" w:bidi="ar"/>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0.44</w:t>
            </w: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宋体" w:hAnsi="宋体" w:cs="宋体"/>
                <w:i w:val="0"/>
                <w:iCs w:val="0"/>
                <w:color w:val="000000"/>
                <w:kern w:val="0"/>
                <w:sz w:val="22"/>
                <w:szCs w:val="22"/>
                <w:u w:val="none"/>
                <w:lang w:val="en-US" w:eastAsia="zh-CN" w:bidi="ar"/>
              </w:rPr>
              <w:t>1.29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1.29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12</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122.46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122.46</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特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8"/>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中共岳阳市君山区委机构编制委员会办公室</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99.62</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122.46</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122.46</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val="en-US" w:eastAsia="zh-CN"/>
              </w:rPr>
              <w:t>119.46</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sz w:val="20"/>
                <w:szCs w:val="20"/>
                <w:highlight w:val="none"/>
                <w:lang w:val="en-US" w:eastAsia="zh-CN"/>
              </w:rPr>
              <w:t>119.46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3</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1、坚决完成行政编制超编消化工作任务。</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2、服务区委高质量发展目标。</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3、加强机构编制监督检查。</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4、全面推进行政事业单位编外聘用人员管理。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5、全面完善行政事业单位“三定”规定。</w:t>
            </w:r>
          </w:p>
        </w:tc>
        <w:tc>
          <w:tcPr>
            <w:tcW w:w="4304" w:type="dxa"/>
            <w:gridSpan w:val="4"/>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560" w:lineRule="exact"/>
              <w:ind w:left="0" w:right="0" w:firstLine="400" w:firstLineChars="200"/>
              <w:jc w:val="both"/>
              <w:textAlignment w:val="auto"/>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严格机构编制实名制管理，按时做好了人员进入、调出、调动、退休等编制调整工作，做到了 “帐帐相符、帐实相符”。</w:t>
            </w:r>
            <w:r>
              <w:rPr>
                <w:rFonts w:hint="eastAsia" w:ascii="仿宋_GB2312" w:hAnsi="仿宋_GB2312" w:eastAsia="仿宋_GB2312" w:cs="仿宋_GB2312"/>
                <w:color w:val="000000"/>
                <w:sz w:val="20"/>
                <w:szCs w:val="20"/>
                <w:highlight w:val="none"/>
                <w:lang w:val="en-US" w:eastAsia="zh-CN"/>
              </w:rPr>
              <w:t>　印发了《君山区事业单位机构编制管理办法（试行）》，对全区事业单位机构管理、编制使用及人员流动进一步严格规范管理。在全面摸底分析全区人员编制情况的基础上，出台了《岳阳市君山区行政编制超编消化工作方案》，明确了“七个一批”的消超措施。</w:t>
            </w:r>
          </w:p>
          <w:p>
            <w:pPr>
              <w:widowControl/>
              <w:spacing w:line="240" w:lineRule="exact"/>
              <w:jc w:val="both"/>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区直行政编制超编消化完成率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9</w:t>
            </w:r>
            <w:r>
              <w:rPr>
                <w:rFonts w:hint="eastAsia" w:ascii="仿宋_GB2312" w:hAnsi="仿宋_GB2312" w:eastAsia="仿宋_GB2312" w:cs="仿宋_GB2312"/>
                <w:color w:val="000000"/>
                <w:sz w:val="20"/>
                <w:szCs w:val="20"/>
                <w:highlight w:val="none"/>
                <w:lang w:val="en-US" w:eastAsia="zh-CN"/>
              </w:rPr>
              <w:t>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9</w:t>
            </w:r>
            <w:r>
              <w:rPr>
                <w:rFonts w:hint="eastAsia" w:ascii="仿宋_GB2312" w:hAnsi="仿宋_GB2312" w:eastAsia="仿宋_GB2312" w:cs="仿宋_GB2312"/>
                <w:color w:val="000000"/>
                <w:sz w:val="20"/>
                <w:szCs w:val="20"/>
                <w:highlight w:val="none"/>
                <w:lang w:val="en-US" w:eastAsia="zh-CN"/>
              </w:rPr>
              <w:t>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区委编委会会议展开</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开展二级机构专项督查</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9</w:t>
            </w:r>
            <w:r>
              <w:rPr>
                <w:rFonts w:hint="eastAsia" w:ascii="仿宋_GB2312" w:hAnsi="仿宋_GB2312" w:eastAsia="仿宋_GB2312" w:cs="仿宋_GB2312"/>
                <w:color w:val="000000"/>
                <w:sz w:val="20"/>
                <w:szCs w:val="20"/>
                <w:highlight w:val="none"/>
                <w:lang w:val="en-US" w:eastAsia="zh-CN"/>
              </w:rPr>
              <w:t>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9</w:t>
            </w:r>
            <w:r>
              <w:rPr>
                <w:rFonts w:hint="eastAsia" w:ascii="仿宋_GB2312" w:hAnsi="仿宋_GB2312" w:eastAsia="仿宋_GB2312" w:cs="仿宋_GB2312"/>
                <w:color w:val="000000"/>
                <w:sz w:val="20"/>
                <w:szCs w:val="20"/>
                <w:highlight w:val="none"/>
                <w:lang w:val="en-US" w:eastAsia="zh-CN"/>
              </w:rPr>
              <w:t>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推进编制优化配置及结构化管理</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98</w:t>
            </w:r>
            <w:r>
              <w:rPr>
                <w:rFonts w:hint="eastAsia" w:ascii="仿宋_GB2312" w:hAnsi="仿宋_GB2312" w:eastAsia="仿宋_GB2312" w:cs="仿宋_GB2312"/>
                <w:color w:val="000000"/>
                <w:sz w:val="20"/>
                <w:szCs w:val="20"/>
                <w:highlight w:val="none"/>
                <w:lang w:val="en-US" w:eastAsia="zh-CN"/>
              </w:rPr>
              <w:t>%</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98</w:t>
            </w:r>
            <w:r>
              <w:rPr>
                <w:rFonts w:hint="eastAsia" w:ascii="仿宋_GB2312" w:hAnsi="仿宋_GB2312" w:eastAsia="仿宋_GB2312" w:cs="仿宋_GB2312"/>
                <w:color w:val="000000"/>
                <w:sz w:val="20"/>
                <w:szCs w:val="20"/>
                <w:highlight w:val="none"/>
                <w:lang w:val="en-US" w:eastAsia="zh-CN"/>
              </w:rPr>
              <w:t>%</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推进行政事业单位编外聘用人员管理</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年度各项任务完成期限</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2023年12月20日前</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预算控制率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编制资源配置</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优化</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优化</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党支部标准化规范化建设水平</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优化</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优化</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7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无</w:t>
            </w: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益</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无</w:t>
            </w: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无</w:t>
            </w:r>
            <w:r>
              <w:rPr>
                <w:rFonts w:hint="eastAsia" w:ascii="仿宋_GB2312" w:hAnsi="仿宋_GB2312" w:eastAsia="仿宋_GB2312" w:cs="仿宋_GB2312"/>
                <w:color w:val="000000"/>
                <w:sz w:val="20"/>
                <w:szCs w:val="20"/>
                <w:highlight w:val="none"/>
              </w:rPr>
              <w:t>生态效</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lang w:val="en-US" w:eastAsia="zh-CN"/>
              </w:rPr>
              <w:t>无</w:t>
            </w:r>
            <w:r>
              <w:rPr>
                <w:rFonts w:hint="eastAsia" w:ascii="仿宋_GB2312" w:hAnsi="仿宋_GB2312" w:eastAsia="仿宋_GB2312" w:cs="仿宋_GB2312"/>
                <w:color w:val="000000"/>
                <w:sz w:val="20"/>
                <w:szCs w:val="20"/>
                <w:highlight w:val="none"/>
              </w:rPr>
              <w:t>可持续影响</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无</w:t>
            </w:r>
            <w:r>
              <w:rPr>
                <w:rFonts w:hint="eastAsia" w:ascii="仿宋_GB2312" w:hAnsi="仿宋_GB2312" w:eastAsia="仿宋_GB2312" w:cs="仿宋_GB2312"/>
                <w:color w:val="000000"/>
                <w:sz w:val="20"/>
                <w:szCs w:val="20"/>
                <w:highlight w:val="none"/>
              </w:rPr>
              <w:t>可持续影响</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无</w:t>
            </w:r>
            <w:r>
              <w:rPr>
                <w:rFonts w:hint="eastAsia" w:ascii="仿宋_GB2312" w:hAnsi="仿宋_GB2312" w:eastAsia="仿宋_GB2312" w:cs="仿宋_GB2312"/>
                <w:color w:val="000000"/>
                <w:sz w:val="20"/>
                <w:szCs w:val="20"/>
                <w:highlight w:val="none"/>
              </w:rPr>
              <w:t>可持续影响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8"/>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sectPr>
      <w:footerReference r:id="rId3" w:type="default"/>
      <w:pgSz w:w="11906" w:h="16838"/>
      <w:pgMar w:top="1814" w:right="1587" w:bottom="1587" w:left="1701" w:header="851" w:footer="992" w:gutter="0"/>
      <w:pgNumType w:fmt="decimal"/>
      <w:cols w:space="720" w:num="1"/>
      <w:rtlGutter w:val="0"/>
      <w:docGrid w:type="lines" w:linePitch="3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E57AF"/>
    <w:multiLevelType w:val="singleLevel"/>
    <w:tmpl w:val="C19E57AF"/>
    <w:lvl w:ilvl="0" w:tentative="0">
      <w:start w:val="2"/>
      <w:numFmt w:val="chineseCounting"/>
      <w:suff w:val="nothing"/>
      <w:lvlText w:val="（%1）"/>
      <w:lvlJc w:val="left"/>
      <w:rPr>
        <w:rFonts w:hint="eastAsia" w:ascii="楷体" w:hAnsi="楷体" w:eastAsia="楷体" w:cs="楷体"/>
        <w:sz w:val="32"/>
        <w:szCs w:val="32"/>
      </w:rPr>
    </w:lvl>
  </w:abstractNum>
  <w:abstractNum w:abstractNumId="1">
    <w:nsid w:val="DA81C459"/>
    <w:multiLevelType w:val="singleLevel"/>
    <w:tmpl w:val="DA81C459"/>
    <w:lvl w:ilvl="0" w:tentative="0">
      <w:start w:val="2"/>
      <w:numFmt w:val="chineseCounting"/>
      <w:suff w:val="nothing"/>
      <w:lvlText w:val="（%1）"/>
      <w:lvlJc w:val="left"/>
      <w:rPr>
        <w:rFonts w:hint="eastAsia" w:ascii="楷体" w:hAnsi="楷体" w:eastAsia="楷体" w:cs="楷体"/>
        <w:sz w:val="32"/>
        <w:szCs w:val="32"/>
      </w:rPr>
    </w:lvl>
  </w:abstractNum>
  <w:abstractNum w:abstractNumId="2">
    <w:nsid w:val="1113A4A2"/>
    <w:multiLevelType w:val="singleLevel"/>
    <w:tmpl w:val="1113A4A2"/>
    <w:lvl w:ilvl="0" w:tentative="0">
      <w:start w:val="1"/>
      <w:numFmt w:val="chineseCounting"/>
      <w:suff w:val="nothing"/>
      <w:lvlText w:val="（%1）"/>
      <w:lvlJc w:val="left"/>
      <w:rPr>
        <w:rFonts w:hint="eastAsia"/>
      </w:rPr>
    </w:lvl>
  </w:abstractNum>
  <w:abstractNum w:abstractNumId="3">
    <w:nsid w:val="169225C5"/>
    <w:multiLevelType w:val="singleLevel"/>
    <w:tmpl w:val="169225C5"/>
    <w:lvl w:ilvl="0" w:tentative="0">
      <w:start w:val="1"/>
      <w:numFmt w:val="chineseCounting"/>
      <w:suff w:val="nothing"/>
      <w:lvlText w:val="%1、"/>
      <w:lvlJc w:val="left"/>
      <w:rPr>
        <w:rFonts w:hint="eastAsia"/>
      </w:rPr>
    </w:lvl>
  </w:abstractNum>
  <w:abstractNum w:abstractNumId="4">
    <w:nsid w:val="5DDF8822"/>
    <w:multiLevelType w:val="singleLevel"/>
    <w:tmpl w:val="5DDF8822"/>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g1MjQyMWM5NGNiNzE1YmE2OTlhMTU3MzM4MzAifQ=="/>
  </w:docVars>
  <w:rsids>
    <w:rsidRoot w:val="5CC73AEB"/>
    <w:rsid w:val="03895EDE"/>
    <w:rsid w:val="04D06013"/>
    <w:rsid w:val="04D1736D"/>
    <w:rsid w:val="075449B1"/>
    <w:rsid w:val="07DC6755"/>
    <w:rsid w:val="08FD2E27"/>
    <w:rsid w:val="0A0A7F8B"/>
    <w:rsid w:val="0A371911"/>
    <w:rsid w:val="0CEC52A6"/>
    <w:rsid w:val="10282537"/>
    <w:rsid w:val="134C71FF"/>
    <w:rsid w:val="156E60BC"/>
    <w:rsid w:val="15E11B06"/>
    <w:rsid w:val="16B23BE3"/>
    <w:rsid w:val="18DD19B3"/>
    <w:rsid w:val="1A4B69F3"/>
    <w:rsid w:val="1BC7354C"/>
    <w:rsid w:val="20BE7648"/>
    <w:rsid w:val="20F65D78"/>
    <w:rsid w:val="217F0425"/>
    <w:rsid w:val="219E23A2"/>
    <w:rsid w:val="22586564"/>
    <w:rsid w:val="24D55897"/>
    <w:rsid w:val="28CF48F2"/>
    <w:rsid w:val="28F85103"/>
    <w:rsid w:val="2A9768ED"/>
    <w:rsid w:val="2BCF262C"/>
    <w:rsid w:val="2C7273BA"/>
    <w:rsid w:val="2E921798"/>
    <w:rsid w:val="33E67E90"/>
    <w:rsid w:val="361F652E"/>
    <w:rsid w:val="36A467B7"/>
    <w:rsid w:val="37434400"/>
    <w:rsid w:val="38B7797A"/>
    <w:rsid w:val="3AE10137"/>
    <w:rsid w:val="3DD671C7"/>
    <w:rsid w:val="3E4B54BF"/>
    <w:rsid w:val="401E2B47"/>
    <w:rsid w:val="40631C56"/>
    <w:rsid w:val="406A21FA"/>
    <w:rsid w:val="40DB004A"/>
    <w:rsid w:val="428E5B40"/>
    <w:rsid w:val="47CF6AF3"/>
    <w:rsid w:val="48587156"/>
    <w:rsid w:val="4986331F"/>
    <w:rsid w:val="4D6C56FA"/>
    <w:rsid w:val="54F4437F"/>
    <w:rsid w:val="550D39C3"/>
    <w:rsid w:val="561F12B3"/>
    <w:rsid w:val="58570C3F"/>
    <w:rsid w:val="58CC01A0"/>
    <w:rsid w:val="5C20569F"/>
    <w:rsid w:val="5C82434A"/>
    <w:rsid w:val="5CC73AEB"/>
    <w:rsid w:val="5DA402F0"/>
    <w:rsid w:val="60C3659A"/>
    <w:rsid w:val="660C4E9E"/>
    <w:rsid w:val="66BC66AA"/>
    <w:rsid w:val="68634C6A"/>
    <w:rsid w:val="689A76AB"/>
    <w:rsid w:val="6A94006A"/>
    <w:rsid w:val="6C823EF2"/>
    <w:rsid w:val="6CF60C2F"/>
    <w:rsid w:val="6DC13431"/>
    <w:rsid w:val="72300560"/>
    <w:rsid w:val="7590122F"/>
    <w:rsid w:val="78856ECF"/>
    <w:rsid w:val="7C83021D"/>
    <w:rsid w:val="7CB94E5D"/>
    <w:rsid w:val="7D0968B2"/>
    <w:rsid w:val="7F604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hAnsi="仿宋" w:eastAsia="宋体" w:cs="Times New Roman"/>
      <w:kern w:val="0"/>
      <w:sz w:val="28"/>
      <w:szCs w:val="24"/>
      <w:lang w:val="en-US" w:eastAsia="zh-CN" w:bidi="ar-SA"/>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style>
  <w:style w:type="paragraph" w:styleId="3">
    <w:name w:val="index 5"/>
    <w:basedOn w:val="1"/>
    <w:next w:val="1"/>
    <w:autoRedefine/>
    <w:qFormat/>
    <w:uiPriority w:val="0"/>
    <w:pPr>
      <w:ind w:left="1680"/>
    </w:pPr>
    <w:rPr>
      <w:rFonts w:ascii="Times New Roman" w:hAnsi="Times New Roman" w:eastAsia="宋体" w:cs="Times New Roman"/>
    </w:rPr>
  </w:style>
  <w:style w:type="paragraph" w:styleId="4">
    <w:name w:val="Body Text"/>
    <w:basedOn w:val="1"/>
    <w:next w:val="5"/>
    <w:autoRedefine/>
    <w:unhideWhenUsed/>
    <w:qFormat/>
    <w:uiPriority w:val="99"/>
    <w:pPr>
      <w:spacing w:after="120"/>
    </w:pPr>
  </w:style>
  <w:style w:type="paragraph" w:styleId="5">
    <w:name w:val="toc 5"/>
    <w:basedOn w:val="1"/>
    <w:next w:val="1"/>
    <w:qFormat/>
    <w:uiPriority w:val="0"/>
    <w:pPr>
      <w:ind w:left="1680" w:leftChars="800"/>
    </w:pPr>
  </w:style>
  <w:style w:type="paragraph" w:styleId="6">
    <w:name w:val="footer"/>
    <w:basedOn w:val="1"/>
    <w:next w:val="3"/>
    <w:autoRedefine/>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5602</Words>
  <Characters>5986</Characters>
  <Lines>0</Lines>
  <Paragraphs>0</Paragraphs>
  <TotalTime>63</TotalTime>
  <ScaleCrop>false</ScaleCrop>
  <LinksUpToDate>false</LinksUpToDate>
  <CharactersWithSpaces>6312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2024-06-19T00:45:00Z</dcterms:created>
  <dc:creator>郑云峰</dc:creator>
  <cp:lastModifiedBy>口天wu</cp:lastModifiedBy>
  <cp:lastPrinted>2024-07-01T02:50:00Z</cp:lastPrinted>
  <dcterms:modified xsi:type="dcterms:W3CDTF">2024-07-12T03:08:30Z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32461A4C91DB4251B9B568ED3F27E747_13</vt:lpwstr>
  </property>
</Properties>
</file>