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岳阳市君山区妇女联合会</w:t>
      </w:r>
      <w:r>
        <w:rPr>
          <w:rFonts w:hint="eastAsia" w:ascii="方正小标宋简体" w:hAnsi="方正小标宋简体" w:eastAsia="方正小标宋简体" w:cs="方正小标宋简体"/>
          <w:sz w:val="44"/>
          <w:szCs w:val="44"/>
        </w:rPr>
        <w:t>整体支出绩效自评报告</w:t>
      </w: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lang w:val="en-US" w:eastAsia="zh-CN"/>
        </w:rPr>
        <w:t>岳阳市君山区妇女联合会</w:t>
      </w:r>
    </w:p>
    <w:p>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2024</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18</w:t>
      </w:r>
      <w:r>
        <w:rPr>
          <w:rFonts w:hint="default" w:ascii="Times New Roman" w:hAnsi="Times New Roman" w:eastAsia="楷体_GB2312" w:cs="Times New Roman"/>
          <w:sz w:val="32"/>
          <w:szCs w:val="32"/>
        </w:rPr>
        <w:t>日</w:t>
      </w: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kinsoku/>
        <w:wordWrap/>
        <w:overflowPunct/>
        <w:topLinePunct w:val="0"/>
        <w:autoSpaceDE/>
        <w:autoSpaceDN/>
        <w:bidi w:val="0"/>
        <w:adjustRightInd/>
        <w:snapToGrid/>
        <w:spacing w:line="560" w:lineRule="exact"/>
        <w:ind w:firstLine="440" w:firstLineChars="1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岳阳市君山区妇女联合会</w:t>
      </w:r>
      <w:r>
        <w:rPr>
          <w:rFonts w:hint="eastAsia" w:ascii="方正小标宋简体" w:hAnsi="方正小标宋简体" w:eastAsia="方正小标宋简体" w:cs="方正小标宋简体"/>
          <w:sz w:val="44"/>
          <w:szCs w:val="44"/>
        </w:rPr>
        <w:t>整体支</w:t>
      </w:r>
      <w:r>
        <w:rPr>
          <w:rFonts w:hint="eastAsia" w:ascii="方正小标宋简体" w:hAnsi="方正小标宋简体" w:eastAsia="方正小标宋简体" w:cs="方正小标宋简体"/>
          <w:sz w:val="44"/>
          <w:szCs w:val="44"/>
          <w:lang w:val="en-US" w:eastAsia="zh-CN"/>
        </w:rPr>
        <w:t>出</w:t>
      </w: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spacing w:line="570" w:lineRule="atLeas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岳阳市君山区妇女联合会是在区委和市妇联领导下的各界妇女的群众组织，基本职能是：代表和维护全区妇女权益，促进男女平等。</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0"/>
          <w:sz w:val="32"/>
          <w:szCs w:val="32"/>
        </w:rPr>
        <w:t>（二）机构设置</w:t>
      </w:r>
      <w:r>
        <w:rPr>
          <w:rFonts w:hint="eastAsia" w:ascii="楷体" w:hAnsi="楷体" w:eastAsia="楷体" w:cs="楷体"/>
          <w:kern w:val="0"/>
          <w:sz w:val="32"/>
          <w:szCs w:val="32"/>
          <w:lang w:val="en-US" w:eastAsia="zh-CN"/>
        </w:rPr>
        <w:t>与人员情况</w:t>
      </w:r>
    </w:p>
    <w:p>
      <w:pPr>
        <w:spacing w:line="570" w:lineRule="atLeast"/>
        <w:ind w:firstLine="640" w:firstLineChars="20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sz w:val="32"/>
          <w:szCs w:val="32"/>
          <w:lang w:val="en-US" w:eastAsia="zh-CN"/>
        </w:rPr>
        <w:t>岳阳市君山区妇女联合会内设2个职能股室：办公室、权益和少儿部；核定区妇联全额拨款事业编制3名，在编在岗3人。</w:t>
      </w:r>
      <w:r>
        <w:rPr>
          <w:rFonts w:hint="eastAsia" w:ascii="仿宋_GB2312" w:hAnsi="仿宋_GB2312" w:eastAsia="仿宋_GB2312" w:cs="仿宋_GB2312"/>
          <w:kern w:val="2"/>
          <w:sz w:val="32"/>
          <w:szCs w:val="32"/>
          <w:lang w:val="en-US" w:eastAsia="zh-CN" w:bidi="ar-SA"/>
        </w:rPr>
        <w:t>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（三）单位绩效目标</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highlight w:val="none"/>
          <w:lang w:val="en-US" w:eastAsia="zh-CN" w:bidi="ar-SA"/>
        </w:rPr>
        <w:t>整体支出绩效目标：</w:t>
      </w:r>
      <w:r>
        <w:rPr>
          <w:rFonts w:hint="eastAsia" w:ascii="仿宋_GB2312" w:hAnsi="仿宋_GB2312" w:eastAsia="仿宋_GB2312" w:cs="仿宋_GB2312"/>
          <w:color w:val="auto"/>
          <w:sz w:val="32"/>
          <w:szCs w:val="32"/>
        </w:rPr>
        <w:t>充分发挥妇联组织在服务基层治理、推动乡村振兴方面的积极作用</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val="0"/>
          <w:bCs w:val="0"/>
          <w:color w:val="auto"/>
          <w:sz w:val="32"/>
          <w:szCs w:val="32"/>
        </w:rPr>
        <w:t>持续关爱困境妇女儿童</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color w:val="auto"/>
          <w:sz w:val="32"/>
          <w:szCs w:val="32"/>
        </w:rPr>
        <w:t>扎实开展工作，用心打造区级“和姐”婚调品牌</w:t>
      </w:r>
      <w:r>
        <w:rPr>
          <w:rFonts w:ascii="仿宋_GB2312" w:hAnsi="仿宋_GB2312" w:eastAsia="仿宋_GB2312" w:cs="仿宋_GB2312"/>
          <w:color w:val="auto"/>
          <w:sz w:val="32"/>
          <w:szCs w:val="32"/>
        </w:rPr>
        <w:t>，将家庭纠纷调解前置</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638" w:leftChars="228" w:right="0" w:rightChars="0" w:firstLine="0" w:firstLineChars="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kern w:val="2"/>
          <w:sz w:val="32"/>
          <w:szCs w:val="32"/>
          <w:highlight w:val="none"/>
          <w:lang w:val="en-US" w:eastAsia="zh-CN" w:bidi="ar-SA"/>
        </w:rPr>
        <w:t>项目支出绩效目标：</w:t>
      </w:r>
      <w:r>
        <w:rPr>
          <w:rFonts w:hint="eastAsia" w:ascii="仿宋_GB2312" w:hAnsi="仿宋_GB2312" w:eastAsia="仿宋_GB2312" w:cs="仿宋_GB2312"/>
          <w:kern w:val="2"/>
          <w:sz w:val="32"/>
          <w:szCs w:val="32"/>
          <w:lang w:val="en-US" w:eastAsia="zh-CN" w:bidi="ar-SA"/>
        </w:rPr>
        <w:t xml:space="preserve">2023年度本单位无项目支出。             </w:t>
      </w:r>
      <w:r>
        <w:rPr>
          <w:rFonts w:hint="eastAsia" w:ascii="仿宋_GB2312" w:hAnsi="仿宋_GB2312" w:eastAsia="仿宋_GB2312" w:cs="仿宋_GB2312"/>
          <w:color w:val="0000FF"/>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一</w:t>
      </w:r>
      <w:r>
        <w:rPr>
          <w:rFonts w:hint="default" w:ascii="Times New Roman" w:hAnsi="Times New Roman" w:eastAsia="黑体" w:cs="Times New Roman"/>
          <w:sz w:val="32"/>
          <w:szCs w:val="32"/>
        </w:rPr>
        <w:t>般公共预算支出情况</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2023年本部门预算资金101.11万元（基本支出101.11万元，项目支出0万元），全年实际支出101.11万元，其中基本支出101.11万元，项目支出0万元，预算执行率100%。　　　　　　</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（一）基本支出情况</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单位2023年度全年预算101.11万元（工资福利支出48.94万元、商品和服务支出33.48万元、对个人和家庭的补助18.69万元、资本性支出0万元），其中一般公共预算财政拨款83.54万元；单位其他资金17.57万元。本单位2023年度基本支出101.11万元（工资福利支出48.94万元、商品和服务支出33.48万元、对个人和家庭的补助18.69万元、资本性支出0万元）），其中人员经费67.63万元，公用经费33.48万元。</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bidi="ar-SA"/>
        </w:rPr>
        <w:t>基本支出主要</w:t>
      </w:r>
      <w:r>
        <w:rPr>
          <w:rFonts w:hint="eastAsia" w:eastAsia="仿宋_GB2312" w:cs="仿宋_GB2312"/>
          <w:kern w:val="0"/>
          <w:sz w:val="32"/>
          <w:szCs w:val="32"/>
          <w:lang w:eastAsia="zh-CN"/>
        </w:rPr>
        <w:t>是指为保障单位机构正常运转、完成日常工作任务而发生的各项支出，包括用于基本工资、</w:t>
      </w:r>
      <w:r>
        <w:rPr>
          <w:rFonts w:hint="eastAsia" w:eastAsia="仿宋_GB2312" w:cs="仿宋_GB2312"/>
          <w:kern w:val="0"/>
          <w:sz w:val="32"/>
          <w:szCs w:val="32"/>
          <w:lang w:val="en-US" w:eastAsia="zh-CN"/>
        </w:rPr>
        <w:t>绩效工资、</w:t>
      </w:r>
      <w:r>
        <w:rPr>
          <w:rFonts w:hint="eastAsia" w:eastAsia="仿宋_GB2312" w:cs="仿宋_GB2312"/>
          <w:kern w:val="0"/>
          <w:sz w:val="32"/>
          <w:szCs w:val="32"/>
          <w:lang w:eastAsia="zh-CN"/>
        </w:rPr>
        <w:t>津贴补贴、</w:t>
      </w:r>
      <w:r>
        <w:rPr>
          <w:rFonts w:hint="eastAsia" w:eastAsia="仿宋_GB2312" w:cs="仿宋_GB2312"/>
          <w:kern w:val="0"/>
          <w:sz w:val="32"/>
          <w:szCs w:val="32"/>
          <w:lang w:val="en-US" w:eastAsia="zh-CN"/>
        </w:rPr>
        <w:t>社会保障缴费</w:t>
      </w:r>
      <w:r>
        <w:rPr>
          <w:rFonts w:hint="eastAsia" w:eastAsia="仿宋_GB2312" w:cs="仿宋_GB2312"/>
          <w:kern w:val="0"/>
          <w:sz w:val="32"/>
          <w:szCs w:val="32"/>
          <w:lang w:eastAsia="zh-CN"/>
        </w:rPr>
        <w:t>等人员经费，办公费、印刷费、水电费、差旅费、</w:t>
      </w:r>
      <w:r>
        <w:rPr>
          <w:rFonts w:hint="eastAsia" w:eastAsia="仿宋_GB2312" w:cs="仿宋_GB2312"/>
          <w:kern w:val="0"/>
          <w:sz w:val="32"/>
          <w:szCs w:val="32"/>
          <w:lang w:val="en-US" w:eastAsia="zh-CN"/>
        </w:rPr>
        <w:t>公务接待费、维修（护）费</w:t>
      </w:r>
      <w:r>
        <w:rPr>
          <w:rFonts w:hint="eastAsia" w:eastAsia="仿宋_GB2312" w:cs="仿宋_GB2312"/>
          <w:kern w:val="0"/>
          <w:sz w:val="32"/>
          <w:szCs w:val="32"/>
          <w:lang w:eastAsia="zh-CN"/>
        </w:rPr>
        <w:t>等日常公用经费，</w:t>
      </w:r>
      <w:r>
        <w:rPr>
          <w:rFonts w:hint="eastAsia" w:eastAsia="仿宋_GB2312" w:cs="仿宋_GB2312"/>
          <w:kern w:val="0"/>
          <w:sz w:val="32"/>
          <w:szCs w:val="32"/>
          <w:lang w:val="en-US" w:eastAsia="zh-CN"/>
        </w:rPr>
        <w:t>以及离退休费用等其他对个人和家庭的补助支出。</w:t>
      </w:r>
    </w:p>
    <w:p>
      <w:pPr>
        <w:pStyle w:val="8"/>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b w:val="0"/>
          <w:bCs/>
          <w:sz w:val="32"/>
          <w:szCs w:val="32"/>
        </w:rPr>
      </w:pPr>
      <w:r>
        <w:rPr>
          <w:rFonts w:hint="eastAsia" w:ascii="楷体" w:hAnsi="楷体" w:eastAsia="楷体" w:cs="楷体"/>
          <w:b w:val="0"/>
          <w:bCs/>
          <w:sz w:val="32"/>
          <w:szCs w:val="32"/>
        </w:rPr>
        <w:t>项目支出情况</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本单位2023年度项目支出全年</w:t>
      </w:r>
      <w:r>
        <w:rPr>
          <w:rFonts w:hint="eastAsia" w:eastAsia="仿宋_GB2312" w:cs="仿宋_GB2312"/>
          <w:kern w:val="0"/>
          <w:sz w:val="32"/>
          <w:szCs w:val="32"/>
          <w:lang w:val="en-US" w:eastAsia="zh-CN"/>
        </w:rPr>
        <w:t>预算0万</w:t>
      </w:r>
      <w:r>
        <w:rPr>
          <w:rFonts w:hint="eastAsia" w:ascii="仿宋_GB2312" w:hAnsi="仿宋_GB2312" w:eastAsia="仿宋_GB2312" w:cs="仿宋_GB2312"/>
          <w:kern w:val="2"/>
          <w:sz w:val="32"/>
          <w:szCs w:val="32"/>
          <w:lang w:val="en-US" w:eastAsia="zh-CN" w:bidi="ar-SA"/>
        </w:rPr>
        <w:t>元</w:t>
      </w:r>
    </w:p>
    <w:p>
      <w:pPr>
        <w:pStyle w:val="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政府性基金预算支出情况</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2023年本单位无此项支出。</w:t>
      </w:r>
    </w:p>
    <w:p>
      <w:pPr>
        <w:pStyle w:val="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国有资本经营预算支出情况</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2023年本单位无此项支出。</w:t>
      </w:r>
    </w:p>
    <w:p>
      <w:pPr>
        <w:pStyle w:val="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社会保险基金预算支出情况</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2023年本单位无此项支出。</w:t>
      </w:r>
    </w:p>
    <w:p>
      <w:pPr>
        <w:pStyle w:val="8"/>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rPr>
        <w:t>部门整体支出绩效情况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bidi="ar-SA"/>
        </w:rPr>
      </w:pPr>
      <w:r>
        <w:rPr>
          <w:rFonts w:hint="eastAsia" w:ascii="Times New Roman" w:hAnsi="Times New Roman" w:eastAsia="黑体" w:cs="Times New Roman"/>
          <w:sz w:val="32"/>
          <w:szCs w:val="32"/>
          <w:lang w:eastAsia="zh-CN"/>
        </w:rPr>
        <w:t>　　</w:t>
      </w:r>
      <w:r>
        <w:rPr>
          <w:rFonts w:hint="default" w:ascii="仿宋_GB2312" w:hAnsi="仿宋_GB2312" w:eastAsia="仿宋_GB2312" w:cs="仿宋_GB2312"/>
          <w:kern w:val="2"/>
          <w:sz w:val="32"/>
          <w:szCs w:val="32"/>
          <w:lang w:val="en-US" w:eastAsia="zh-CN" w:bidi="ar-SA"/>
        </w:rPr>
        <w:t>2023年，</w:t>
      </w:r>
      <w:r>
        <w:rPr>
          <w:rFonts w:hint="eastAsia" w:ascii="仿宋_GB2312" w:hAnsi="仿宋_GB2312" w:eastAsia="仿宋_GB2312" w:cs="仿宋_GB2312"/>
          <w:kern w:val="2"/>
          <w:sz w:val="32"/>
          <w:szCs w:val="32"/>
          <w:lang w:val="en-US" w:eastAsia="zh-CN" w:bidi="ar-SA"/>
        </w:rPr>
        <w:t>本单位</w:t>
      </w:r>
      <w:r>
        <w:rPr>
          <w:rFonts w:hint="default" w:ascii="仿宋_GB2312" w:hAnsi="仿宋_GB2312" w:eastAsia="仿宋_GB2312" w:cs="仿宋_GB2312"/>
          <w:kern w:val="2"/>
          <w:sz w:val="32"/>
          <w:szCs w:val="32"/>
          <w:lang w:val="en-US" w:eastAsia="zh-CN" w:bidi="ar-SA"/>
        </w:rPr>
        <w:t>积极履职，资金管理规范，</w:t>
      </w:r>
      <w:r>
        <w:rPr>
          <w:rFonts w:hint="eastAsia" w:ascii="仿宋_GB2312" w:hAnsi="仿宋_GB2312" w:eastAsia="仿宋_GB2312" w:cs="仿宋_GB2312"/>
          <w:kern w:val="2"/>
          <w:sz w:val="32"/>
          <w:szCs w:val="32"/>
          <w:lang w:val="en-US" w:eastAsia="zh-CN" w:bidi="ar-SA"/>
        </w:rPr>
        <w:t>资产</w:t>
      </w:r>
      <w:r>
        <w:rPr>
          <w:rFonts w:hint="default" w:ascii="仿宋_GB2312" w:hAnsi="仿宋_GB2312" w:eastAsia="仿宋_GB2312" w:cs="仿宋_GB2312"/>
          <w:kern w:val="2"/>
          <w:sz w:val="32"/>
          <w:szCs w:val="32"/>
          <w:lang w:val="en-US" w:eastAsia="zh-CN" w:bidi="ar-SA"/>
        </w:rPr>
        <w:t>管理到位，政策执行有力，较好地完成了年度工作目标，有效发挥了财政资金的使用效率。在人员经费支出上</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严格执行上级的各项制度;在</w:t>
      </w:r>
      <w:r>
        <w:rPr>
          <w:rFonts w:hint="eastAsia" w:ascii="仿宋_GB2312" w:hAnsi="仿宋_GB2312" w:eastAsia="仿宋_GB2312" w:cs="仿宋_GB2312"/>
          <w:kern w:val="2"/>
          <w:sz w:val="32"/>
          <w:szCs w:val="32"/>
          <w:lang w:val="en-US" w:eastAsia="zh-CN" w:bidi="ar-SA"/>
        </w:rPr>
        <w:t>公用</w:t>
      </w:r>
      <w:r>
        <w:rPr>
          <w:rFonts w:hint="default" w:ascii="仿宋_GB2312" w:hAnsi="仿宋_GB2312" w:eastAsia="仿宋_GB2312" w:cs="仿宋_GB2312"/>
          <w:kern w:val="2"/>
          <w:sz w:val="32"/>
          <w:szCs w:val="32"/>
          <w:lang w:val="en-US" w:eastAsia="zh-CN" w:bidi="ar-SA"/>
        </w:rPr>
        <w:t>经费使用上，</w:t>
      </w:r>
      <w:r>
        <w:rPr>
          <w:rFonts w:hint="eastAsia" w:ascii="仿宋_GB2312" w:hAnsi="仿宋_GB2312" w:eastAsia="仿宋_GB2312" w:cs="仿宋_GB2312"/>
          <w:kern w:val="2"/>
          <w:sz w:val="32"/>
          <w:szCs w:val="32"/>
          <w:lang w:val="en-US" w:eastAsia="zh-CN" w:bidi="ar-SA"/>
        </w:rPr>
        <w:t>严格执行预算</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在</w:t>
      </w:r>
      <w:r>
        <w:rPr>
          <w:rFonts w:hint="default" w:ascii="仿宋_GB2312" w:hAnsi="仿宋_GB2312" w:eastAsia="仿宋_GB2312" w:cs="仿宋_GB2312"/>
          <w:kern w:val="2"/>
          <w:sz w:val="32"/>
          <w:szCs w:val="32"/>
          <w:lang w:val="en-US" w:eastAsia="zh-CN" w:bidi="ar-SA"/>
        </w:rPr>
        <w:t>“三公”经费</w:t>
      </w:r>
      <w:r>
        <w:rPr>
          <w:rFonts w:hint="eastAsia" w:ascii="仿宋_GB2312" w:hAnsi="仿宋_GB2312" w:eastAsia="仿宋_GB2312" w:cs="仿宋_GB2312"/>
          <w:kern w:val="2"/>
          <w:sz w:val="32"/>
          <w:szCs w:val="32"/>
          <w:lang w:val="en-US" w:eastAsia="zh-CN" w:bidi="ar-SA"/>
        </w:rPr>
        <w:t>开支上，</w:t>
      </w:r>
      <w:r>
        <w:rPr>
          <w:rFonts w:hint="default" w:ascii="仿宋_GB2312" w:hAnsi="仿宋_GB2312" w:eastAsia="仿宋_GB2312" w:cs="仿宋_GB2312"/>
          <w:kern w:val="2"/>
          <w:sz w:val="32"/>
          <w:szCs w:val="32"/>
          <w:lang w:val="en-US" w:eastAsia="zh-CN" w:bidi="ar-SA"/>
        </w:rPr>
        <w:t>厉行节约，从严控制，2023年度一般公共预算</w:t>
      </w:r>
      <w:r>
        <w:rPr>
          <w:rFonts w:hint="eastAsia" w:ascii="仿宋_GB2312" w:hAnsi="仿宋_GB2312" w:eastAsia="仿宋_GB2312" w:cs="仿宋_GB2312"/>
          <w:kern w:val="2"/>
          <w:sz w:val="32"/>
          <w:szCs w:val="32"/>
          <w:lang w:val="en-US" w:eastAsia="zh-CN" w:bidi="ar-SA"/>
        </w:rPr>
        <w:t>拨</w:t>
      </w:r>
      <w:r>
        <w:rPr>
          <w:rFonts w:hint="default" w:ascii="仿宋_GB2312" w:hAnsi="仿宋_GB2312" w:eastAsia="仿宋_GB2312" w:cs="仿宋_GB2312"/>
          <w:kern w:val="2"/>
          <w:sz w:val="32"/>
          <w:szCs w:val="32"/>
          <w:lang w:val="en-US" w:eastAsia="zh-CN" w:bidi="ar-SA"/>
        </w:rPr>
        <w:t>款中“三公经费”年初预算</w:t>
      </w:r>
      <w:r>
        <w:rPr>
          <w:rFonts w:hint="eastAsia" w:ascii="仿宋_GB2312" w:hAnsi="仿宋_GB2312" w:eastAsia="仿宋_GB2312" w:cs="仿宋_GB2312"/>
          <w:kern w:val="2"/>
          <w:sz w:val="32"/>
          <w:szCs w:val="32"/>
          <w:lang w:val="en-US" w:eastAsia="zh-CN" w:bidi="ar-SA"/>
        </w:rPr>
        <w:t>0.06</w:t>
      </w:r>
      <w:r>
        <w:rPr>
          <w:rFonts w:hint="default" w:ascii="仿宋_GB2312" w:hAnsi="仿宋_GB2312" w:eastAsia="仿宋_GB2312" w:cs="仿宋_GB2312"/>
          <w:kern w:val="2"/>
          <w:sz w:val="32"/>
          <w:szCs w:val="32"/>
          <w:lang w:val="en-US" w:eastAsia="zh-CN" w:bidi="ar-SA"/>
        </w:rPr>
        <w:t>万元，实际支出</w:t>
      </w:r>
      <w:r>
        <w:rPr>
          <w:rFonts w:hint="eastAsia" w:ascii="仿宋_GB2312" w:hAnsi="仿宋_GB2312" w:eastAsia="仿宋_GB2312" w:cs="仿宋_GB2312"/>
          <w:kern w:val="2"/>
          <w:sz w:val="32"/>
          <w:szCs w:val="32"/>
          <w:lang w:val="en-US" w:eastAsia="zh-CN" w:bidi="ar-SA"/>
        </w:rPr>
        <w:t>0.06</w:t>
      </w:r>
      <w:r>
        <w:rPr>
          <w:rFonts w:hint="default" w:ascii="仿宋_GB2312" w:hAnsi="仿宋_GB2312" w:eastAsia="仿宋_GB2312" w:cs="仿宋_GB2312"/>
          <w:kern w:val="2"/>
          <w:sz w:val="32"/>
          <w:szCs w:val="32"/>
          <w:lang w:val="en-US" w:eastAsia="zh-CN" w:bidi="ar-SA"/>
        </w:rPr>
        <w:t>万元，为年初预算的</w:t>
      </w:r>
      <w:r>
        <w:rPr>
          <w:rFonts w:hint="eastAsia" w:ascii="仿宋_GB2312" w:hAnsi="仿宋_GB2312" w:eastAsia="仿宋_GB2312" w:cs="仿宋_GB2312"/>
          <w:kern w:val="2"/>
          <w:sz w:val="32"/>
          <w:szCs w:val="32"/>
          <w:lang w:val="en-US" w:eastAsia="zh-CN" w:bidi="ar-SA"/>
        </w:rPr>
        <w:t>100</w:t>
      </w:r>
      <w:r>
        <w:rPr>
          <w:rFonts w:hint="default" w:ascii="仿宋_GB2312" w:hAnsi="仿宋_GB2312" w:eastAsia="仿宋_GB2312" w:cs="仿宋_GB2312"/>
          <w:kern w:val="2"/>
          <w:sz w:val="32"/>
          <w:szCs w:val="32"/>
          <w:lang w:val="en-US" w:eastAsia="zh-CN" w:bidi="ar-SA"/>
        </w:rPr>
        <w:t xml:space="preserve">%。根据《部门整体支出绩效自评表》自评得分 </w:t>
      </w:r>
      <w:r>
        <w:rPr>
          <w:rFonts w:hint="eastAsia" w:ascii="仿宋_GB2312" w:hAnsi="仿宋_GB2312" w:eastAsia="仿宋_GB2312" w:cs="仿宋_GB2312"/>
          <w:kern w:val="2"/>
          <w:sz w:val="32"/>
          <w:szCs w:val="32"/>
          <w:lang w:val="en-US" w:eastAsia="zh-CN" w:bidi="ar-SA"/>
        </w:rPr>
        <w:t>98</w:t>
      </w:r>
      <w:r>
        <w:rPr>
          <w:rFonts w:hint="default" w:ascii="仿宋_GB2312" w:hAnsi="仿宋_GB2312" w:eastAsia="仿宋_GB2312" w:cs="仿宋_GB2312"/>
          <w:kern w:val="2"/>
          <w:sz w:val="32"/>
          <w:szCs w:val="32"/>
          <w:lang w:val="en-US" w:eastAsia="zh-CN" w:bidi="ar-SA"/>
        </w:rPr>
        <w:t>分(详见附表2)，部门整体支出绩效为“优”</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预算财务管理方面</w:t>
      </w:r>
    </w:p>
    <w:p>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仿宋_GB2312" w:hAnsi="仿宋_GB2312" w:eastAsia="仿宋_GB2312" w:cs="仿宋_GB2312"/>
          <w:kern w:val="2"/>
          <w:sz w:val="32"/>
          <w:szCs w:val="32"/>
          <w:lang w:val="en-US" w:eastAsia="zh-CN" w:bidi="ar-SA"/>
        </w:rPr>
        <w:t>1.严格执行预算管理制度，切实降低运行成本。2023年，</w:t>
      </w:r>
      <w:r>
        <w:rPr>
          <w:rFonts w:hint="eastAsia" w:ascii="Times New Roman" w:hAnsi="Times New Roman" w:eastAsia="仿宋_GB2312" w:cs="Times New Roman"/>
          <w:color w:val="000000"/>
          <w:sz w:val="32"/>
          <w:szCs w:val="32"/>
          <w:lang w:val="en-US" w:eastAsia="zh-CN"/>
        </w:rPr>
        <w:t>我社严格预算管理，科学安排支出，实时把握支出进度，不断提高资金使用效益，将过“紧日子”贯穿全年，</w:t>
      </w:r>
      <w:r>
        <w:rPr>
          <w:rFonts w:hint="eastAsia" w:ascii="Times New Roman" w:hAnsi="Times New Roman" w:eastAsia="仿宋_GB2312" w:cs="Times New Roman"/>
          <w:color w:val="000000"/>
          <w:kern w:val="0"/>
          <w:sz w:val="32"/>
          <w:szCs w:val="32"/>
          <w:lang w:val="en-US" w:eastAsia="zh-CN" w:bidi="ar-SA"/>
        </w:rPr>
        <w:t>建立健全了收入、支出、政府采购、资产管理以及公务接待、差旅费等财务管理制度，对公务用车、公务租车、公务出差、公务接待、会议费等实行事前审批制度，严格控制各项支出，有效杜绝了资金浪费情况，确保了资金使用的规范性、安全性和有效性，</w:t>
      </w:r>
      <w:r>
        <w:rPr>
          <w:rFonts w:hint="eastAsia" w:ascii="Times New Roman" w:hAnsi="Times New Roman" w:eastAsia="仿宋_GB2312" w:cs="Times New Roman"/>
          <w:color w:val="000000"/>
          <w:sz w:val="32"/>
          <w:szCs w:val="32"/>
          <w:lang w:val="en-US" w:eastAsia="zh-CN"/>
        </w:rPr>
        <w:t>预算执行率达到100%，</w:t>
      </w:r>
      <w:r>
        <w:rPr>
          <w:rFonts w:hint="eastAsia" w:ascii="Times New Roman" w:hAnsi="Times New Roman" w:eastAsia="仿宋_GB2312" w:cs="Times New Roman"/>
          <w:color w:val="000000"/>
          <w:kern w:val="0"/>
          <w:sz w:val="32"/>
          <w:szCs w:val="32"/>
          <w:lang w:val="en-US" w:eastAsia="zh-CN" w:bidi="ar-SA"/>
        </w:rPr>
        <w:t>切实降低运行成本，</w:t>
      </w:r>
      <w:r>
        <w:rPr>
          <w:rFonts w:hint="eastAsia" w:ascii="Times New Roman" w:hAnsi="Times New Roman" w:eastAsia="仿宋_GB2312" w:cs="Times New Roman"/>
          <w:color w:val="000000"/>
          <w:sz w:val="32"/>
          <w:szCs w:val="32"/>
          <w:lang w:val="en-US" w:eastAsia="zh-CN"/>
        </w:rPr>
        <w:t>发挥了财政资金的最大效益。</w:t>
      </w:r>
    </w:p>
    <w:p>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加强资产管理，确保资产保值增值。根据政府采购和资产管理要求，建立了资产实物管理台账，根据各股室的需求制订了采购计划，按国有资产配置、政府采购和有关规定按程序在电子卖场进行采购活动。2023年底，本单位固定资产原值4.9万元，净值2.7万元。</w:t>
      </w:r>
    </w:p>
    <w:p>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44"/>
          <w:sz w:val="32"/>
          <w:szCs w:val="32"/>
          <w:lang w:val="en-US" w:eastAsia="zh-CN" w:bidi="ar"/>
        </w:rPr>
      </w:pPr>
      <w:r>
        <w:rPr>
          <w:rFonts w:hint="eastAsia" w:ascii="Times New Roman" w:hAnsi="Times New Roman" w:eastAsia="仿宋_GB2312" w:cs="Times New Roman"/>
          <w:color w:val="000000"/>
          <w:kern w:val="0"/>
          <w:sz w:val="32"/>
          <w:szCs w:val="32"/>
          <w:lang w:val="en-US" w:eastAsia="zh-CN" w:bidi="ar-SA"/>
        </w:rPr>
        <w:t>（二）</w:t>
      </w:r>
      <w:r>
        <w:rPr>
          <w:rFonts w:hint="eastAsia" w:ascii="仿宋_GB2312" w:hAnsi="仿宋_GB2312" w:eastAsia="仿宋_GB2312" w:cs="仿宋_GB2312"/>
          <w:kern w:val="44"/>
          <w:sz w:val="32"/>
          <w:szCs w:val="32"/>
          <w:lang w:val="en-US" w:eastAsia="zh-CN" w:bidi="ar"/>
        </w:rPr>
        <w:t>履职产出效益方面</w:t>
      </w:r>
    </w:p>
    <w:p>
      <w:pPr>
        <w:spacing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color w:val="auto"/>
          <w:sz w:val="32"/>
          <w:szCs w:val="32"/>
        </w:rPr>
        <w:t>充分发挥妇联组织在服务基层治理、推动乡村振兴方面的积极作用，深入开展“乡村振兴巾帼行动”，加大农村女性电商运营培训力度，搭建企业用工平台；开展全区养老护理师、育婴师培训，助力女性高质量就业。</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color w:val="auto"/>
          <w:sz w:val="32"/>
          <w:szCs w:val="32"/>
        </w:rPr>
        <w:t>推荐评选了市最美特色家庭3户，市三八红旗手1人，市三八红旗集体1个，市级巾帼英才1人；评选表彰5个区三八红旗手（集体）以及19个最美系列家庭，常态化选树先进典型。</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b w:val="0"/>
          <w:bCs w:val="0"/>
          <w:color w:val="auto"/>
          <w:sz w:val="32"/>
          <w:szCs w:val="32"/>
        </w:rPr>
        <w:t>持续关爱困境妇女儿童。</w:t>
      </w:r>
      <w:r>
        <w:rPr>
          <w:rFonts w:hint="eastAsia" w:ascii="仿宋_GB2312" w:hAnsi="仿宋_GB2312" w:eastAsia="仿宋_GB2312" w:cs="仿宋_GB2312"/>
          <w:color w:val="auto"/>
          <w:sz w:val="32"/>
          <w:szCs w:val="32"/>
        </w:rPr>
        <w:t>开展农村及城镇低保妇女“两癌”免费筛查重点民生实事，今年共为5000名妇女提供了“两癌”免费检查服务；实施2023年中央专项彩票公益金支持低收入妇女“两癌”救助项目，为8名低收入“两癌”妇女争取中央公益彩票基金资8万元；</w:t>
      </w:r>
      <w:r>
        <w:rPr>
          <w:rFonts w:hint="eastAsia" w:ascii="仿宋_GB2312" w:hAnsi="仿宋_GB2312" w:eastAsia="仿宋_GB2312" w:cs="仿宋_GB2312"/>
          <w:color w:val="auto"/>
          <w:sz w:val="32"/>
          <w:szCs w:val="32"/>
          <w:shd w:val="clear" w:color="auto" w:fill="FFFFFF"/>
        </w:rPr>
        <w:t>开展</w:t>
      </w:r>
      <w:r>
        <w:rPr>
          <w:rFonts w:hint="eastAsia" w:ascii="仿宋_GB2312" w:hAnsi="仿宋_GB2312" w:eastAsia="仿宋_GB2312" w:cs="仿宋_GB2312"/>
          <w:color w:val="auto"/>
          <w:sz w:val="32"/>
          <w:szCs w:val="32"/>
        </w:rPr>
        <w:t>2023年“巾帼助学</w:t>
      </w:r>
      <w:r>
        <w:rPr>
          <w:rFonts w:hint="eastAsia" w:ascii="方正小标宋简体" w:hAnsi="方正小标宋简体" w:eastAsia="方正小标宋简体" w:cs="方正小标宋简体"/>
          <w:color w:val="auto"/>
          <w:sz w:val="44"/>
          <w:szCs w:val="44"/>
          <w:shd w:val="clear" w:color="auto" w:fill="FFFFFF"/>
        </w:rPr>
        <w:t>·</w:t>
      </w:r>
      <w:r>
        <w:rPr>
          <w:rFonts w:hint="eastAsia" w:ascii="仿宋_GB2312" w:hAnsi="仿宋_GB2312" w:eastAsia="仿宋_GB2312" w:cs="仿宋_GB2312"/>
          <w:color w:val="auto"/>
          <w:sz w:val="32"/>
          <w:szCs w:val="32"/>
        </w:rPr>
        <w:t>梦想起航”活动</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rPr>
        <w:t>筹集10万元帮扶资金资助43名家境困难学生；开展“出手吧姐姐 温暖2023”关爱困境妇女儿童活动，筹资8万元将对</w:t>
      </w:r>
      <w:r>
        <w:rPr>
          <w:rStyle w:val="9"/>
          <w:rFonts w:hint="eastAsia" w:ascii="仿宋_GB2312" w:hAnsi="仿宋_GB2312" w:eastAsia="仿宋_GB2312" w:cs="仿宋_GB2312"/>
          <w:color w:val="auto"/>
          <w:sz w:val="32"/>
          <w:szCs w:val="32"/>
        </w:rPr>
        <w:t>80名“两癌”妇女、困难妇女儿童和家庭进行慰问帮扶。</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　　</w:t>
      </w:r>
      <w:r>
        <w:rPr>
          <w:rFonts w:hint="default" w:ascii="Times New Roman" w:hAnsi="Times New Roman" w:eastAsia="黑体" w:cs="Times New Roman"/>
          <w:sz w:val="32"/>
          <w:szCs w:val="32"/>
        </w:rPr>
        <w:t>七、存在的问题及原因分析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kern w:val="2"/>
          <w:sz w:val="32"/>
          <w:szCs w:val="32"/>
          <w:lang w:val="en-US" w:eastAsia="zh-CN" w:bidi="ar-SA"/>
        </w:rPr>
        <w:t>（一）预算精准性有待进一步提高</w:t>
      </w:r>
      <w:r>
        <w:rPr>
          <w:rFonts w:hint="eastAsia" w:ascii="Times New Roman" w:hAnsi="Times New Roman" w:eastAsia="楷体_GB2312" w:cs="Times New Roman"/>
          <w:b w:val="0"/>
          <w:bCs/>
          <w:kern w:val="0"/>
          <w:sz w:val="32"/>
          <w:szCs w:val="32"/>
          <w:lang w:val="en-US" w:eastAsia="zh-CN" w:bidi="ar-SA"/>
        </w:rPr>
        <w:t>。</w:t>
      </w:r>
      <w:r>
        <w:rPr>
          <w:rFonts w:hint="eastAsia" w:ascii="Times New Roman" w:hAnsi="Times New Roman" w:eastAsia="仿宋_GB2312" w:cs="Times New Roman"/>
          <w:sz w:val="32"/>
          <w:szCs w:val="32"/>
          <w:lang w:val="en-US" w:eastAsia="zh-CN"/>
        </w:rPr>
        <w:t>由于预算编制具有不可预见性，年初安排预算时，对各项公用支出的分配安排缺乏统一的硬性标准，导致部分资金使用时需要进行指标调剂。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kern w:val="2"/>
          <w:sz w:val="32"/>
          <w:szCs w:val="32"/>
          <w:lang w:val="en-US" w:eastAsia="zh-CN" w:bidi="ar-SA"/>
        </w:rPr>
        <w:t>（二）预算绩效管理意识有待进一步加强，预算绩效管理的工作方法方式有待创新。</w:t>
      </w:r>
      <w:r>
        <w:rPr>
          <w:rFonts w:hint="eastAsia" w:ascii="Times New Roman" w:hAnsi="Times New Roman" w:eastAsia="仿宋_GB2312" w:cs="Times New Roman"/>
          <w:sz w:val="32"/>
          <w:szCs w:val="32"/>
          <w:lang w:val="en-US" w:eastAsia="zh-CN"/>
        </w:rPr>
        <w:t>预算绩效管理工作贯穿全年，与各个业务股室息息相关，由于对预算绩效管理的全面性和重要性缺乏深入的了解，统揽全局的意识有所欠缺，导致预算绩效管理工作在推动过程中能够很好地完成各项工作任务，但工作质量难以实现质的飞跃。</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kern w:val="2"/>
          <w:sz w:val="32"/>
          <w:szCs w:val="32"/>
          <w:lang w:val="en-US" w:eastAsia="zh-CN" w:bidi="ar-SA"/>
        </w:rPr>
        <w:t>财务业务水平有待进一步提高。</w:t>
      </w:r>
      <w:r>
        <w:rPr>
          <w:rFonts w:hint="eastAsia" w:ascii="Times New Roman" w:hAnsi="Times New Roman" w:eastAsia="仿宋_GB2312" w:cs="Times New Roman"/>
          <w:sz w:val="32"/>
          <w:szCs w:val="32"/>
          <w:lang w:val="en-US" w:eastAsia="zh-CN"/>
        </w:rPr>
        <w:t>由于财务工作内容变化较大，各项制度、政策更新快，加之财务人员忙于琐碎的日常工作，对各项新知识、新业务的学习时间、精力有限，导致财务人员预算绩效管理工作水平一般，在将预算绩效管理转化成工作成果，更好地指导各项工作的开展方面有所欠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t>八、下一步改进措施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（一）加强预算编制的前瞻性，提高预算编制水平</w:t>
      </w:r>
      <w:r>
        <w:rPr>
          <w:rFonts w:hint="eastAsia" w:ascii="楷体" w:hAnsi="楷体" w:eastAsia="楷体" w:cs="楷体"/>
          <w:sz w:val="32"/>
          <w:szCs w:val="32"/>
          <w:lang w:val="en-US" w:eastAsia="zh-CN"/>
        </w:rPr>
        <w:t>。</w:t>
      </w:r>
      <w:r>
        <w:rPr>
          <w:rFonts w:hint="eastAsia" w:ascii="Times New Roman" w:hAnsi="Times New Roman" w:eastAsia="仿宋_GB2312" w:cs="Times New Roman"/>
          <w:sz w:val="32"/>
          <w:szCs w:val="32"/>
          <w:lang w:val="en-US" w:eastAsia="zh-CN"/>
        </w:rPr>
        <w:t>进一步提高预算编制的科学性、合理性、严谨性和可控性，紧密结合上一年度预算执行情况和本年度预算收支变化因素，科学、合理地编制本年预算草案，避免出现预算支出与预算执行出现偏差较大的情况。落实预算执行分析，及时了解预算执行差异，合理调整、纠正预算执行偏差，切实提高部门预算收支管理水平。</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牢固树立预算绩效管理贯穿全局的理念，进一步创新工作方式方法。切实做好预算绩效管理的上传下达工作，在全单位形成将预算绩效管理意识融入到业务工作中的意识，多向优秀典型案例学习，拓宽工作思路，多想办法，想好办法，自觉提高预算绩效管理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加大财务人员培训力度，提高财务人员从业水平。督促财务人员树立常学常新的理念，及时更新知识体系，通过加大对财务人员预算绩效管理理论水平和实操的培训，提高将预算绩效管理转化成生产力的能力，更好地提高本单位的管理水平，促进各项事业更好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t>九、部门整体支出绩效自评结果拟应用和公开情况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sz w:val="32"/>
          <w:szCs w:val="32"/>
          <w:lang w:val="en-US" w:eastAsia="zh-CN"/>
        </w:rPr>
        <w:t>对部门整体支出绩效自评在规定时间内公开至本单位门户网站，确保公开数据真实、完整、准确。</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rPr>
        <w:t>其他需要说明的情况</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cs="Times New Roman"/>
          <w:kern w:val="0"/>
          <w:sz w:val="32"/>
          <w:szCs w:val="32"/>
          <w:lang w:val="en-US" w:eastAsia="zh-CN" w:bidi="ar-SA"/>
        </w:rPr>
        <w:t>　　无。</w:t>
      </w:r>
      <w:r>
        <w:rPr>
          <w:rFonts w:hint="eastAsia" w:ascii="Times New Roman" w:hAnsi="Times New Roman" w:eastAsia="仿宋_GB2312" w:cs="Times New Roman"/>
          <w:kern w:val="0"/>
          <w:sz w:val="32"/>
          <w:szCs w:val="32"/>
          <w:lang w:val="en-US" w:eastAsia="zh-CN" w:bidi="ar-SA"/>
        </w:rPr>
        <w:br w:type="page"/>
      </w: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年度部门整体支出绩效评价基础数据表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年度部门整体支出绩效自评表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31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0.15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0.06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0.15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40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31.97</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33.48</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170.69</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13.8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13.45</w:t>
            </w: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13.45</w:t>
            </w:r>
            <w:r>
              <w:rPr>
                <w:rFonts w:hint="eastAsia" w:ascii="仿宋_GB2312" w:hAnsi="仿宋_GB2312" w:eastAsia="仿宋_GB2312" w:cs="仿宋_GB2312"/>
                <w:color w:val="FF0000"/>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0.8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0.36</w:t>
            </w:r>
            <w:r>
              <w:rPr>
                <w:rFonts w:hint="eastAsia" w:ascii="宋体" w:hAnsi="宋体" w:eastAsia="宋体" w:cs="宋体"/>
                <w:i w:val="0"/>
                <w:iCs w:val="0"/>
                <w:color w:val="000000"/>
                <w:kern w:val="0"/>
                <w:sz w:val="22"/>
                <w:szCs w:val="22"/>
                <w:u w:val="none"/>
                <w:lang w:val="en-US" w:eastAsia="zh-CN" w:bidi="ar"/>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0.36</w:t>
            </w: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2.25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0.03</w:t>
            </w:r>
            <w:r>
              <w:rPr>
                <w:rFonts w:hint="eastAsia" w:ascii="宋体" w:hAnsi="宋体" w:eastAsia="宋体" w:cs="宋体"/>
                <w:i w:val="0"/>
                <w:iCs w:val="0"/>
                <w:color w:val="000000"/>
                <w:kern w:val="0"/>
                <w:sz w:val="22"/>
                <w:szCs w:val="22"/>
                <w:u w:val="none"/>
                <w:lang w:val="en-US" w:eastAsia="zh-CN" w:bidi="ar"/>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0.03</w:t>
            </w: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20.05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20.05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101.11</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101.11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特神，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：刘继军</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2024.6.19</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13873030025</w:t>
      </w: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eastAsia="zh-CN"/>
        </w:rPr>
        <w:t>湛海清</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6"/>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岳阳市君山区妇女联合会</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265" w:hRule="atLeast"/>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72.22</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101.11</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101.11</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lang w:val="en-US" w:eastAsia="zh-CN"/>
              </w:rPr>
              <w:t>83.54</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sz w:val="20"/>
                <w:szCs w:val="20"/>
                <w:highlight w:val="none"/>
                <w:lang w:val="en-US" w:eastAsia="zh-CN"/>
              </w:rPr>
              <w:t>101.11</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17.57</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1.坚持党建引领</w:t>
            </w:r>
          </w:p>
          <w:p>
            <w:pPr>
              <w:widowControl/>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2.围绕服务大局，在发展中彰显巾帼担当</w:t>
            </w:r>
          </w:p>
          <w:p>
            <w:pPr>
              <w:widowControl/>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3.健全工作机制，在关爱妇儿中用情用心</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4.聚焦民生服务，在多措并举中擦亮“娘家”品牌　</w:t>
            </w:r>
          </w:p>
        </w:tc>
        <w:tc>
          <w:tcPr>
            <w:tcW w:w="4304" w:type="dxa"/>
            <w:gridSpan w:val="4"/>
            <w:tcBorders>
              <w:top w:val="single" w:color="auto" w:sz="4" w:space="0"/>
              <w:left w:val="nil"/>
              <w:bottom w:val="single" w:color="auto" w:sz="4" w:space="0"/>
              <w:right w:val="single" w:color="auto" w:sz="4" w:space="0"/>
            </w:tcBorders>
            <w:noWrap w:val="0"/>
            <w:vAlign w:val="top"/>
          </w:tcPr>
          <w:p>
            <w:pPr>
              <w:widowControl/>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1.学习宣传贯彻落实党的二十大精神、中国妇女十三大精神，深入学习领会习近平总书记关于妇女和妇女工作的重要论述</w:t>
            </w:r>
          </w:p>
          <w:p>
            <w:pPr>
              <w:widowControl/>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2.助力女性高质量就业</w:t>
            </w:r>
          </w:p>
          <w:p>
            <w:pPr>
              <w:widowControl/>
              <w:spacing w:line="240" w:lineRule="exact"/>
              <w:jc w:val="both"/>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3.开展农村及城镇低保妇女“两癌”免费筛查重点民生实事等</w:t>
            </w:r>
          </w:p>
          <w:p>
            <w:pPr>
              <w:widowControl/>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4.用心打造区级“和姐”婚调品牌，将家庭纠纷调解前置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实施妇女健康行动</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巾帼宣讲</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2次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2次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妇女儿童合法权益</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95%</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乡镇、街道妇联组织组建率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95%</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信息更新及时率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　＝</w:t>
            </w: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年度各项任务完成期限</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2023年12月20日前</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预算控制率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实行产业帮扶、义务帮扶</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有效提高</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有效提高</w:t>
            </w:r>
            <w:bookmarkStart w:id="0" w:name="_GoBack"/>
            <w:bookmarkEnd w:id="0"/>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提高市场服务质量</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95%</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rPr>
              <w:t>无明显环境效益</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无明显环境效益</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无明显环境效益</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无明显</w:t>
            </w:r>
            <w:r>
              <w:rPr>
                <w:rFonts w:hint="eastAsia" w:ascii="仿宋_GB2312" w:hAnsi="仿宋_GB2312" w:eastAsia="仿宋_GB2312" w:cs="仿宋_GB2312"/>
                <w:color w:val="000000"/>
                <w:sz w:val="20"/>
                <w:szCs w:val="20"/>
                <w:lang w:val="en-US" w:eastAsia="zh-CN"/>
              </w:rPr>
              <w:t>可持续影响效益</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无明显</w:t>
            </w:r>
            <w:r>
              <w:rPr>
                <w:rFonts w:hint="eastAsia" w:ascii="仿宋_GB2312" w:hAnsi="仿宋_GB2312" w:eastAsia="仿宋_GB2312" w:cs="仿宋_GB2312"/>
                <w:color w:val="000000"/>
                <w:sz w:val="20"/>
                <w:szCs w:val="20"/>
                <w:lang w:val="en-US" w:eastAsia="zh-CN"/>
              </w:rPr>
              <w:t>可持续影响效益</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无明显</w:t>
            </w:r>
            <w:r>
              <w:rPr>
                <w:rFonts w:hint="eastAsia" w:ascii="仿宋_GB2312" w:hAnsi="仿宋_GB2312" w:eastAsia="仿宋_GB2312" w:cs="仿宋_GB2312"/>
                <w:color w:val="000000"/>
                <w:sz w:val="20"/>
                <w:szCs w:val="20"/>
                <w:lang w:val="en-US" w:eastAsia="zh-CN"/>
              </w:rPr>
              <w:t>可持续影响效益</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妇女儿童满意度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6"/>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sectPr>
      <w:footerReference r:id="rId3" w:type="default"/>
      <w:pgSz w:w="11906" w:h="16838"/>
      <w:pgMar w:top="1587" w:right="1587" w:bottom="1587" w:left="1587" w:header="851" w:footer="992" w:gutter="0"/>
      <w:pgNumType w:fmt="decimal"/>
      <w:cols w:space="720" w:num="1"/>
      <w:rtlGutter w:val="0"/>
      <w:docGrid w:type="lines" w:linePitch="3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E57AF"/>
    <w:multiLevelType w:val="singleLevel"/>
    <w:tmpl w:val="C19E57AF"/>
    <w:lvl w:ilvl="0" w:tentative="0">
      <w:start w:val="2"/>
      <w:numFmt w:val="chineseCounting"/>
      <w:suff w:val="nothing"/>
      <w:lvlText w:val="（%1）"/>
      <w:lvlJc w:val="left"/>
      <w:rPr>
        <w:rFonts w:hint="eastAsia" w:ascii="楷体" w:hAnsi="楷体" w:eastAsia="楷体" w:cs="楷体"/>
        <w:sz w:val="32"/>
        <w:szCs w:val="32"/>
      </w:rPr>
    </w:lvl>
  </w:abstractNum>
  <w:abstractNum w:abstractNumId="1">
    <w:nsid w:val="DA81C459"/>
    <w:multiLevelType w:val="singleLevel"/>
    <w:tmpl w:val="DA81C459"/>
    <w:lvl w:ilvl="0" w:tentative="0">
      <w:start w:val="2"/>
      <w:numFmt w:val="chineseCounting"/>
      <w:suff w:val="nothing"/>
      <w:lvlText w:val="（%1）"/>
      <w:lvlJc w:val="left"/>
      <w:rPr>
        <w:rFonts w:hint="eastAsia" w:ascii="楷体" w:hAnsi="楷体" w:eastAsia="楷体" w:cs="楷体"/>
        <w:sz w:val="32"/>
        <w:szCs w:val="32"/>
      </w:rPr>
    </w:lvl>
  </w:abstractNum>
  <w:abstractNum w:abstractNumId="2">
    <w:nsid w:val="1113A4A2"/>
    <w:multiLevelType w:val="singleLevel"/>
    <w:tmpl w:val="1113A4A2"/>
    <w:lvl w:ilvl="0" w:tentative="0">
      <w:start w:val="1"/>
      <w:numFmt w:val="chineseCounting"/>
      <w:suff w:val="nothing"/>
      <w:lvlText w:val="（%1）"/>
      <w:lvlJc w:val="left"/>
      <w:rPr>
        <w:rFonts w:hint="eastAsia"/>
      </w:rPr>
    </w:lvl>
  </w:abstractNum>
  <w:abstractNum w:abstractNumId="3">
    <w:nsid w:val="5DDF8822"/>
    <w:multiLevelType w:val="singleLevel"/>
    <w:tmpl w:val="5DDF8822"/>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hMjdlZjQ5YjRhZjNkYTU5MWJjNTdiM2YyYzk4OWIifQ=="/>
  </w:docVars>
  <w:rsids>
    <w:rsidRoot w:val="5CC73AEB"/>
    <w:rsid w:val="04D06013"/>
    <w:rsid w:val="04D1736D"/>
    <w:rsid w:val="075449B1"/>
    <w:rsid w:val="07DC6755"/>
    <w:rsid w:val="08FD2E27"/>
    <w:rsid w:val="0A0A7F8B"/>
    <w:rsid w:val="0A371911"/>
    <w:rsid w:val="0CEC52A6"/>
    <w:rsid w:val="10282537"/>
    <w:rsid w:val="156E60BC"/>
    <w:rsid w:val="15E11B06"/>
    <w:rsid w:val="16B23BE3"/>
    <w:rsid w:val="18DD19B3"/>
    <w:rsid w:val="1A4B69F3"/>
    <w:rsid w:val="1BC7354C"/>
    <w:rsid w:val="1D7D1305"/>
    <w:rsid w:val="20BE7648"/>
    <w:rsid w:val="20F65D78"/>
    <w:rsid w:val="217F0425"/>
    <w:rsid w:val="219E23A2"/>
    <w:rsid w:val="22586564"/>
    <w:rsid w:val="242C715C"/>
    <w:rsid w:val="24D55897"/>
    <w:rsid w:val="28CF48F2"/>
    <w:rsid w:val="28F85103"/>
    <w:rsid w:val="2A9768ED"/>
    <w:rsid w:val="2BCF262C"/>
    <w:rsid w:val="2C7273BA"/>
    <w:rsid w:val="2E921798"/>
    <w:rsid w:val="33E67E90"/>
    <w:rsid w:val="361F652E"/>
    <w:rsid w:val="38B7797A"/>
    <w:rsid w:val="3AE10137"/>
    <w:rsid w:val="3DD671C7"/>
    <w:rsid w:val="3E4B54BF"/>
    <w:rsid w:val="401E2B47"/>
    <w:rsid w:val="406A21FA"/>
    <w:rsid w:val="406A4374"/>
    <w:rsid w:val="40DB004A"/>
    <w:rsid w:val="48587156"/>
    <w:rsid w:val="4986331F"/>
    <w:rsid w:val="4D6C56FA"/>
    <w:rsid w:val="55642FF8"/>
    <w:rsid w:val="561F12B3"/>
    <w:rsid w:val="58570C3F"/>
    <w:rsid w:val="58CC01A0"/>
    <w:rsid w:val="5C20569F"/>
    <w:rsid w:val="5C82434A"/>
    <w:rsid w:val="5CC73AEB"/>
    <w:rsid w:val="5DA402F0"/>
    <w:rsid w:val="606A03BA"/>
    <w:rsid w:val="60C3659A"/>
    <w:rsid w:val="660C4E9E"/>
    <w:rsid w:val="66BC66AA"/>
    <w:rsid w:val="689A76AB"/>
    <w:rsid w:val="6A94006A"/>
    <w:rsid w:val="6C823EF2"/>
    <w:rsid w:val="6DC13431"/>
    <w:rsid w:val="7590122F"/>
    <w:rsid w:val="78856ECF"/>
    <w:rsid w:val="7C83021D"/>
    <w:rsid w:val="7CB94E5D"/>
    <w:rsid w:val="7F604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Normal Indent"/>
    <w:basedOn w:val="1"/>
    <w:unhideWhenUsed/>
    <w:qFormat/>
    <w:uiPriority w:val="99"/>
    <w:pPr>
      <w:ind w:firstLine="420" w:firstLineChars="200"/>
    </w:p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paragraph" w:styleId="8">
    <w:name w:val="List Paragraph"/>
    <w:basedOn w:val="1"/>
    <w:qFormat/>
    <w:uiPriority w:val="99"/>
    <w:pPr>
      <w:ind w:firstLine="420" w:firstLineChars="200"/>
    </w:pPr>
    <w:rPr>
      <w:rFonts w:ascii="Calibri" w:hAnsi="Calibri"/>
      <w:szCs w:val="22"/>
    </w:rPr>
  </w:style>
  <w:style w:type="character" w:customStyle="1" w:styleId="9">
    <w:name w:val="NormalCharacter"/>
    <w:semiHidden/>
    <w:qFormat/>
    <w:uiPriority w:val="0"/>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4980</Words>
  <Characters>5424</Characters>
  <Lines>0</Lines>
  <Paragraphs>0</Paragraphs>
  <TotalTime>0</TotalTime>
  <ScaleCrop>false</ScaleCrop>
  <LinksUpToDate>false</LinksUpToDate>
  <CharactersWithSpaces>5748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2024-06-19T00:45:00Z</dcterms:created>
  <dc:creator>郑云峰</dc:creator>
  <cp:lastModifiedBy>Administrator</cp:lastModifiedBy>
  <dcterms:modified xsi:type="dcterms:W3CDTF">2024-07-01T01:24:06Z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BC1FCAD18FF44EF0979166B849C4A24D_13</vt:lpwstr>
  </property>
</Properties>
</file>