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atLeast"/>
        <w:jc w:val="center"/>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b/>
          <w:bCs/>
          <w:sz w:val="44"/>
          <w:szCs w:val="44"/>
          <w:lang w:eastAsia="zh-CN"/>
        </w:rPr>
        <w:t>中国国际贸易促进委员会岳阳市</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b/>
          <w:bCs/>
          <w:sz w:val="44"/>
          <w:szCs w:val="44"/>
          <w:lang w:eastAsia="zh-CN"/>
        </w:rPr>
        <w:t>君山区委员会</w:t>
      </w:r>
      <w:r>
        <w:rPr>
          <w:rFonts w:hint="eastAsia" w:ascii="方正小标宋简体" w:hAnsi="方正小标宋简体" w:eastAsia="方正小标宋简体" w:cs="方正小标宋简体"/>
          <w:sz w:val="44"/>
          <w:szCs w:val="44"/>
          <w:highlight w:val="none"/>
        </w:rPr>
        <w:t>单位整体支出绩效自评报告</w:t>
      </w:r>
    </w:p>
    <w:p>
      <w:pPr>
        <w:jc w:val="center"/>
        <w:rPr>
          <w:rFonts w:hint="default" w:ascii="Times New Roman" w:hAnsi="Times New Roman" w:eastAsia="方正小标宋_GBK" w:cs="Times New Roman"/>
          <w:b/>
          <w:sz w:val="52"/>
          <w:szCs w:val="5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both"/>
        <w:rPr>
          <w:rFonts w:hint="default" w:ascii="Times New Roman" w:hAnsi="Times New Roman" w:eastAsia="黑体" w:cs="Times New Roman"/>
          <w:sz w:val="32"/>
          <w:szCs w:val="32"/>
          <w:highlight w:val="none"/>
        </w:rPr>
      </w:pPr>
    </w:p>
    <w:p>
      <w:pPr>
        <w:spacing w:line="600" w:lineRule="exact"/>
        <w:ind w:firstLine="1920" w:firstLineChars="600"/>
        <w:jc w:val="both"/>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（盖章）</w:t>
      </w:r>
    </w:p>
    <w:p>
      <w:pPr>
        <w:spacing w:line="600" w:lineRule="exact"/>
        <w:jc w:val="center"/>
        <w:rPr>
          <w:rFonts w:hint="default"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val="en-US" w:eastAsia="zh-CN"/>
        </w:rPr>
        <w:t>2024</w:t>
      </w:r>
      <w:r>
        <w:rPr>
          <w:rFonts w:hint="default" w:ascii="Times New Roman" w:hAnsi="Times New Roman" w:eastAsia="楷体_GB2312" w:cs="Times New Roman"/>
          <w:sz w:val="32"/>
          <w:szCs w:val="32"/>
          <w:highlight w:val="none"/>
        </w:rPr>
        <w:t>年</w:t>
      </w:r>
      <w:r>
        <w:rPr>
          <w:rFonts w:hint="eastAsia" w:ascii="Times New Roman" w:hAnsi="Times New Roman" w:eastAsia="楷体_GB2312" w:cs="Times New Roman"/>
          <w:sz w:val="32"/>
          <w:szCs w:val="32"/>
          <w:highlight w:val="none"/>
          <w:lang w:val="en-US" w:eastAsia="zh-CN"/>
        </w:rPr>
        <w:t>6</w:t>
      </w:r>
      <w:r>
        <w:rPr>
          <w:rFonts w:hint="default" w:ascii="Times New Roman" w:hAnsi="Times New Roman" w:eastAsia="楷体_GB2312" w:cs="Times New Roman"/>
          <w:sz w:val="32"/>
          <w:szCs w:val="32"/>
          <w:highlight w:val="none"/>
        </w:rPr>
        <w:t>月</w:t>
      </w:r>
      <w:r>
        <w:rPr>
          <w:rFonts w:hint="eastAsia" w:ascii="Times New Roman" w:hAnsi="Times New Roman" w:eastAsia="楷体_GB2312" w:cs="Times New Roman"/>
          <w:sz w:val="32"/>
          <w:szCs w:val="32"/>
          <w:highlight w:val="none"/>
          <w:lang w:val="en-US" w:eastAsia="zh-CN"/>
        </w:rPr>
        <w:t>22</w:t>
      </w:r>
      <w:bookmarkStart w:id="0" w:name="_GoBack"/>
      <w:bookmarkEnd w:id="0"/>
      <w:r>
        <w:rPr>
          <w:rFonts w:hint="default" w:ascii="Times New Roman" w:hAnsi="Times New Roman" w:eastAsia="楷体_GB2312" w:cs="Times New Roman"/>
          <w:sz w:val="32"/>
          <w:szCs w:val="32"/>
          <w:highlight w:val="none"/>
        </w:rPr>
        <w:t>日</w:t>
      </w:r>
    </w:p>
    <w:p>
      <w:pPr>
        <w:jc w:val="center"/>
        <w:rPr>
          <w:rFonts w:hint="eastAsia" w:ascii="方正小标宋简体" w:hAnsi="方正小标宋简体" w:eastAsia="方正小标宋简体" w:cs="方正小标宋简体"/>
          <w:sz w:val="44"/>
          <w:szCs w:val="44"/>
          <w:highlight w:val="none"/>
          <w:lang w:eastAsia="zh-CN"/>
        </w:rPr>
      </w:pP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eastAsia="zh-CN"/>
        </w:rPr>
        <w:t>中国国际贸易促进委员会岳阳市</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eastAsia="zh-CN"/>
        </w:rPr>
        <w:t>君山区委员会</w:t>
      </w:r>
      <w:r>
        <w:rPr>
          <w:rFonts w:hint="eastAsia" w:ascii="方正小标宋简体" w:hAnsi="方正小标宋简体" w:eastAsia="方正小标宋简体" w:cs="方正小标宋简体"/>
          <w:sz w:val="44"/>
          <w:szCs w:val="44"/>
          <w:highlight w:val="none"/>
        </w:rPr>
        <w:t>单位整体支出绩效自评报告</w:t>
      </w:r>
    </w:p>
    <w:p>
      <w:pPr>
        <w:jc w:val="center"/>
        <w:rPr>
          <w:rFonts w:hint="eastAsia" w:ascii="方正小标宋简体" w:hAnsi="方正小标宋简体" w:eastAsia="方正小标宋简体" w:cs="方正小标宋简体"/>
          <w:sz w:val="44"/>
          <w:szCs w:val="44"/>
          <w:highlight w:val="none"/>
        </w:rPr>
      </w:pP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部门（单位）基本情况</w:t>
      </w:r>
    </w:p>
    <w:p>
      <w:pPr>
        <w:numPr>
          <w:ilvl w:val="0"/>
          <w:numId w:val="2"/>
        </w:numPr>
        <w:spacing w:line="560" w:lineRule="exact"/>
        <w:ind w:firstLine="643" w:firstLineChars="200"/>
        <w:rPr>
          <w:rFonts w:hint="eastAsia" w:ascii="仿宋_GB2312" w:hAnsi="仿宋_GB2312" w:eastAsia="仿宋_GB2312" w:cs="仿宋_GB2312"/>
          <w:b/>
          <w:bCs w:val="0"/>
          <w:sz w:val="32"/>
          <w:szCs w:val="32"/>
          <w:lang w:eastAsia="zh-CN"/>
        </w:rPr>
      </w:pPr>
      <w:r>
        <w:rPr>
          <w:rFonts w:hint="eastAsia" w:ascii="仿宋_GB2312" w:hAnsi="仿宋_GB2312" w:eastAsia="仿宋_GB2312" w:cs="仿宋_GB2312"/>
          <w:b/>
          <w:bCs w:val="0"/>
          <w:sz w:val="32"/>
          <w:szCs w:val="32"/>
        </w:rPr>
        <w:t>、</w:t>
      </w:r>
      <w:r>
        <w:rPr>
          <w:rFonts w:hint="eastAsia" w:ascii="仿宋_GB2312" w:hAnsi="仿宋_GB2312" w:eastAsia="仿宋_GB2312" w:cs="仿宋_GB2312"/>
          <w:b/>
          <w:bCs w:val="0"/>
          <w:sz w:val="32"/>
          <w:szCs w:val="32"/>
          <w:lang w:eastAsia="zh-CN"/>
        </w:rPr>
        <w:t>单位职能</w:t>
      </w:r>
    </w:p>
    <w:p>
      <w:pPr>
        <w:keepNext w:val="0"/>
        <w:keepLines w:val="0"/>
        <w:pageBreakBefore w:val="0"/>
        <w:tabs>
          <w:tab w:val="left" w:pos="540"/>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olor w:val="auto"/>
          <w:kern w:val="44"/>
          <w:sz w:val="32"/>
          <w:szCs w:val="32"/>
          <w:highlight w:val="none"/>
        </w:rPr>
      </w:pPr>
      <w:r>
        <w:rPr>
          <w:rFonts w:hint="eastAsia" w:ascii="仿宋_GB2312" w:hAnsi="仿宋_GB2312" w:eastAsia="仿宋_GB2312"/>
          <w:color w:val="auto"/>
          <w:kern w:val="44"/>
          <w:sz w:val="32"/>
          <w:szCs w:val="32"/>
          <w:highlight w:val="none"/>
        </w:rPr>
        <w:t>（</w:t>
      </w:r>
      <w:r>
        <w:rPr>
          <w:rFonts w:hint="eastAsia" w:ascii="仿宋_GB2312" w:hAnsi="仿宋_GB2312" w:eastAsia="仿宋_GB2312"/>
          <w:color w:val="auto"/>
          <w:kern w:val="44"/>
          <w:sz w:val="32"/>
          <w:szCs w:val="32"/>
          <w:highlight w:val="none"/>
          <w:lang w:val="en-US" w:eastAsia="zh-CN"/>
        </w:rPr>
        <w:t>1</w:t>
      </w:r>
      <w:r>
        <w:rPr>
          <w:rFonts w:hint="eastAsia" w:ascii="仿宋_GB2312" w:hAnsi="仿宋_GB2312" w:eastAsia="仿宋_GB2312"/>
          <w:color w:val="auto"/>
          <w:kern w:val="44"/>
          <w:sz w:val="32"/>
          <w:szCs w:val="32"/>
          <w:highlight w:val="none"/>
        </w:rPr>
        <w:t>）根据区委、区人民政府有关外经贸和外事工作的方针政策及工作部署，开展同国内外经济贸易界、商会协会、贸促机构和其他经贸团体以及有关国际组织的联络工作；与国外相应组织签订有关经贸技术交流、合作协议、协定，并参加相关活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olor w:val="auto"/>
          <w:kern w:val="44"/>
          <w:sz w:val="32"/>
          <w:szCs w:val="32"/>
          <w:highlight w:val="none"/>
        </w:rPr>
      </w:pPr>
      <w:r>
        <w:rPr>
          <w:rFonts w:hint="eastAsia" w:ascii="仿宋_GB2312" w:hAnsi="仿宋_GB2312" w:eastAsia="仿宋_GB2312"/>
          <w:color w:val="auto"/>
          <w:kern w:val="44"/>
          <w:sz w:val="32"/>
          <w:szCs w:val="32"/>
          <w:highlight w:val="none"/>
        </w:rPr>
        <w:t>（</w:t>
      </w:r>
      <w:r>
        <w:rPr>
          <w:rFonts w:hint="eastAsia" w:ascii="仿宋_GB2312" w:hAnsi="仿宋_GB2312" w:eastAsia="仿宋_GB2312"/>
          <w:color w:val="auto"/>
          <w:kern w:val="44"/>
          <w:sz w:val="32"/>
          <w:szCs w:val="32"/>
          <w:highlight w:val="none"/>
          <w:lang w:val="en-US" w:eastAsia="zh-CN"/>
        </w:rPr>
        <w:t>2</w:t>
      </w:r>
      <w:r>
        <w:rPr>
          <w:rFonts w:hint="eastAsia" w:ascii="仿宋_GB2312" w:hAnsi="仿宋_GB2312" w:eastAsia="仿宋_GB2312"/>
          <w:color w:val="auto"/>
          <w:kern w:val="44"/>
          <w:sz w:val="32"/>
          <w:szCs w:val="32"/>
          <w:highlight w:val="none"/>
        </w:rPr>
        <w:t>）邀请和接待国内外经贸界人士和代表团来访；组织经济贸易代表团赴境外访问与考察；协助</w:t>
      </w:r>
      <w:r>
        <w:rPr>
          <w:rFonts w:hint="eastAsia" w:ascii="仿宋_GB2312" w:hAnsi="仿宋_GB2312" w:eastAsia="仿宋_GB2312"/>
          <w:color w:val="auto"/>
          <w:kern w:val="44"/>
          <w:sz w:val="32"/>
          <w:szCs w:val="32"/>
          <w:highlight w:val="none"/>
          <w:lang w:eastAsia="zh-CN"/>
        </w:rPr>
        <w:t>区委、</w:t>
      </w:r>
      <w:r>
        <w:rPr>
          <w:rFonts w:hint="eastAsia" w:ascii="仿宋_GB2312" w:hAnsi="仿宋_GB2312" w:eastAsia="仿宋_GB2312"/>
          <w:color w:val="auto"/>
          <w:kern w:val="44"/>
          <w:sz w:val="32"/>
          <w:szCs w:val="32"/>
          <w:highlight w:val="none"/>
        </w:rPr>
        <w:t>区人民政府组织经贸洽谈、招商引资及其他形式的促进经贸交流与合作活动。</w:t>
      </w:r>
    </w:p>
    <w:p>
      <w:pPr>
        <w:keepNext w:val="0"/>
        <w:keepLines w:val="0"/>
        <w:pageBreakBefore w:val="0"/>
        <w:kinsoku/>
        <w:wordWrap/>
        <w:overflowPunct/>
        <w:topLinePunct w:val="0"/>
        <w:autoSpaceDE/>
        <w:autoSpaceDN/>
        <w:bidi w:val="0"/>
        <w:adjustRightInd/>
        <w:snapToGrid/>
        <w:spacing w:line="560" w:lineRule="exact"/>
        <w:ind w:firstLine="720" w:firstLineChars="225"/>
        <w:textAlignment w:val="auto"/>
        <w:rPr>
          <w:rFonts w:hint="eastAsia" w:ascii="仿宋_GB2312" w:hAnsi="仿宋_GB2312" w:eastAsia="仿宋_GB2312"/>
          <w:color w:val="auto"/>
          <w:kern w:val="44"/>
          <w:sz w:val="32"/>
          <w:szCs w:val="32"/>
          <w:highlight w:val="none"/>
        </w:rPr>
      </w:pPr>
      <w:r>
        <w:rPr>
          <w:rFonts w:hint="eastAsia" w:ascii="仿宋_GB2312" w:hAnsi="仿宋_GB2312" w:eastAsia="仿宋_GB2312"/>
          <w:color w:val="auto"/>
          <w:kern w:val="44"/>
          <w:sz w:val="32"/>
          <w:szCs w:val="32"/>
          <w:highlight w:val="none"/>
        </w:rPr>
        <w:t>（</w:t>
      </w:r>
      <w:r>
        <w:rPr>
          <w:rFonts w:hint="eastAsia" w:ascii="仿宋_GB2312" w:hAnsi="仿宋_GB2312" w:eastAsia="仿宋_GB2312"/>
          <w:color w:val="auto"/>
          <w:kern w:val="44"/>
          <w:sz w:val="32"/>
          <w:szCs w:val="32"/>
          <w:highlight w:val="none"/>
          <w:lang w:val="en-US" w:eastAsia="zh-CN"/>
        </w:rPr>
        <w:t>3</w:t>
      </w:r>
      <w:r>
        <w:rPr>
          <w:rFonts w:hint="eastAsia" w:ascii="仿宋_GB2312" w:hAnsi="仿宋_GB2312" w:eastAsia="仿宋_GB2312"/>
          <w:color w:val="auto"/>
          <w:kern w:val="44"/>
          <w:sz w:val="32"/>
          <w:szCs w:val="32"/>
          <w:highlight w:val="none"/>
        </w:rPr>
        <w:t>）开展国内外经济贸易信息的收集、整理、传递和发布工作，建立国内外的经贸信息网络；向国内外有关企业和机构介绍经济技术合作、劳务合作对象、提供贸易机会、信息咨询及国内外公司、企业的资信调查服务；举办对外经贸宣传活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olor w:val="auto"/>
          <w:kern w:val="44"/>
          <w:sz w:val="32"/>
          <w:szCs w:val="32"/>
          <w:highlight w:val="none"/>
        </w:rPr>
      </w:pPr>
      <w:r>
        <w:rPr>
          <w:rFonts w:hint="eastAsia" w:ascii="仿宋_GB2312" w:hAnsi="仿宋_GB2312" w:eastAsia="仿宋_GB2312"/>
          <w:color w:val="auto"/>
          <w:kern w:val="44"/>
          <w:sz w:val="32"/>
          <w:szCs w:val="32"/>
          <w:highlight w:val="none"/>
        </w:rPr>
        <w:t>（</w:t>
      </w:r>
      <w:r>
        <w:rPr>
          <w:rFonts w:hint="eastAsia" w:ascii="仿宋_GB2312" w:hAnsi="仿宋_GB2312" w:eastAsia="仿宋_GB2312"/>
          <w:color w:val="auto"/>
          <w:kern w:val="44"/>
          <w:sz w:val="32"/>
          <w:szCs w:val="32"/>
          <w:highlight w:val="none"/>
          <w:lang w:val="en-US" w:eastAsia="zh-CN"/>
        </w:rPr>
        <w:t>4</w:t>
      </w:r>
      <w:r>
        <w:rPr>
          <w:rFonts w:hint="eastAsia" w:ascii="仿宋_GB2312" w:hAnsi="仿宋_GB2312" w:eastAsia="仿宋_GB2312"/>
          <w:color w:val="auto"/>
          <w:kern w:val="44"/>
          <w:sz w:val="32"/>
          <w:szCs w:val="32"/>
          <w:highlight w:val="none"/>
        </w:rPr>
        <w:t>）协调管理全区出国举办经济贸易展览会的归口受理、报批工作；根据君山区对外经贸工作的需要，拟定年度出国办展和参展计划；组织君山区企业、团体在境内外举办经贸展览会和参加国际博览会、专业性展览会等。</w:t>
      </w:r>
    </w:p>
    <w:p>
      <w:pPr>
        <w:keepNext w:val="0"/>
        <w:keepLines w:val="0"/>
        <w:pageBreakBefore w:val="0"/>
        <w:kinsoku/>
        <w:wordWrap/>
        <w:overflowPunct/>
        <w:topLinePunct w:val="0"/>
        <w:autoSpaceDE/>
        <w:autoSpaceDN/>
        <w:bidi w:val="0"/>
        <w:adjustRightInd/>
        <w:snapToGrid/>
        <w:spacing w:line="560" w:lineRule="exact"/>
        <w:ind w:firstLine="720" w:firstLineChars="225"/>
        <w:textAlignment w:val="auto"/>
        <w:rPr>
          <w:rFonts w:hint="eastAsia" w:ascii="仿宋_GB2312" w:hAnsi="仿宋_GB2312" w:eastAsia="仿宋_GB2312"/>
          <w:color w:val="auto"/>
          <w:kern w:val="44"/>
          <w:sz w:val="32"/>
          <w:szCs w:val="32"/>
          <w:highlight w:val="none"/>
        </w:rPr>
      </w:pPr>
      <w:r>
        <w:rPr>
          <w:rFonts w:hint="eastAsia" w:ascii="仿宋_GB2312" w:hAnsi="仿宋_GB2312" w:eastAsia="仿宋_GB2312"/>
          <w:color w:val="auto"/>
          <w:kern w:val="44"/>
          <w:sz w:val="32"/>
          <w:szCs w:val="32"/>
          <w:highlight w:val="none"/>
        </w:rPr>
        <w:t>（</w:t>
      </w:r>
      <w:r>
        <w:rPr>
          <w:rFonts w:hint="eastAsia" w:ascii="仿宋_GB2312" w:hAnsi="仿宋_GB2312" w:eastAsia="仿宋_GB2312"/>
          <w:color w:val="auto"/>
          <w:kern w:val="44"/>
          <w:sz w:val="32"/>
          <w:szCs w:val="32"/>
          <w:highlight w:val="none"/>
          <w:lang w:val="en-US" w:eastAsia="zh-CN"/>
        </w:rPr>
        <w:t>5</w:t>
      </w:r>
      <w:r>
        <w:rPr>
          <w:rFonts w:hint="eastAsia" w:ascii="仿宋_GB2312" w:hAnsi="仿宋_GB2312" w:eastAsia="仿宋_GB2312"/>
          <w:color w:val="auto"/>
          <w:kern w:val="44"/>
          <w:sz w:val="32"/>
          <w:szCs w:val="32"/>
          <w:highlight w:val="none"/>
        </w:rPr>
        <w:t>）与各地商会、律师事务所及其他商事法律服务组织合作，建立国际商事法律服务平台；签发货物原产地证明书、商事证明书和ATA单证册，出具不可抗力证明，代办涉外商事文件的领事认证业务；受理共同海损和单独海损等理算业务；组织涉外商事法律方面的对外交流活动；对企业进行国际商事法律业务培训。</w:t>
      </w:r>
    </w:p>
    <w:p>
      <w:pPr>
        <w:keepNext w:val="0"/>
        <w:keepLines w:val="0"/>
        <w:pageBreakBefore w:val="0"/>
        <w:kinsoku/>
        <w:wordWrap/>
        <w:overflowPunct/>
        <w:topLinePunct w:val="0"/>
        <w:autoSpaceDE/>
        <w:autoSpaceDN/>
        <w:bidi w:val="0"/>
        <w:adjustRightInd/>
        <w:snapToGrid/>
        <w:spacing w:line="560" w:lineRule="exact"/>
        <w:ind w:firstLine="720" w:firstLineChars="225"/>
        <w:textAlignment w:val="auto"/>
        <w:rPr>
          <w:rFonts w:hint="eastAsia" w:ascii="仿宋_GB2312" w:hAnsi="仿宋_GB2312" w:eastAsia="仿宋_GB2312"/>
          <w:color w:val="auto"/>
          <w:kern w:val="44"/>
          <w:sz w:val="32"/>
          <w:szCs w:val="32"/>
          <w:highlight w:val="none"/>
        </w:rPr>
      </w:pPr>
      <w:r>
        <w:rPr>
          <w:rFonts w:hint="eastAsia" w:ascii="仿宋_GB2312" w:hAnsi="仿宋_GB2312" w:eastAsia="仿宋_GB2312"/>
          <w:color w:val="auto"/>
          <w:kern w:val="44"/>
          <w:sz w:val="32"/>
          <w:szCs w:val="32"/>
          <w:highlight w:val="none"/>
        </w:rPr>
        <w:t>（</w:t>
      </w:r>
      <w:r>
        <w:rPr>
          <w:rFonts w:hint="eastAsia" w:ascii="仿宋_GB2312" w:hAnsi="仿宋_GB2312" w:eastAsia="仿宋_GB2312"/>
          <w:color w:val="auto"/>
          <w:kern w:val="44"/>
          <w:sz w:val="32"/>
          <w:szCs w:val="32"/>
          <w:highlight w:val="none"/>
          <w:lang w:val="en-US" w:eastAsia="zh-CN"/>
        </w:rPr>
        <w:t>6</w:t>
      </w:r>
      <w:r>
        <w:rPr>
          <w:rFonts w:hint="eastAsia" w:ascii="仿宋_GB2312" w:hAnsi="仿宋_GB2312" w:eastAsia="仿宋_GB2312"/>
          <w:color w:val="auto"/>
          <w:kern w:val="44"/>
          <w:sz w:val="32"/>
          <w:szCs w:val="32"/>
          <w:highlight w:val="none"/>
        </w:rPr>
        <w:t>）协助调解涉外经贸（海事）纠纷；代理君山区企业在国内外或外国公司和个人在我国办理商标注册和专利申请；协助办理有关知识产权的咨询、争议处理及技术贸易等业务。</w:t>
      </w:r>
    </w:p>
    <w:p>
      <w:pPr>
        <w:keepNext w:val="0"/>
        <w:keepLines w:val="0"/>
        <w:pageBreakBefore w:val="0"/>
        <w:kinsoku/>
        <w:wordWrap/>
        <w:overflowPunct/>
        <w:topLinePunct w:val="0"/>
        <w:autoSpaceDE/>
        <w:autoSpaceDN/>
        <w:bidi w:val="0"/>
        <w:adjustRightInd/>
        <w:snapToGrid/>
        <w:spacing w:line="560" w:lineRule="exact"/>
        <w:ind w:firstLine="720" w:firstLineChars="225"/>
        <w:textAlignment w:val="auto"/>
        <w:rPr>
          <w:rFonts w:hint="eastAsia" w:ascii="仿宋_GB2312" w:hAnsi="仿宋_GB2312" w:eastAsia="仿宋_GB2312"/>
          <w:color w:val="auto"/>
          <w:kern w:val="44"/>
          <w:sz w:val="32"/>
          <w:szCs w:val="32"/>
          <w:highlight w:val="none"/>
        </w:rPr>
      </w:pPr>
      <w:r>
        <w:rPr>
          <w:rFonts w:hint="eastAsia" w:ascii="仿宋_GB2312" w:hAnsi="仿宋_GB2312" w:eastAsia="仿宋_GB2312"/>
          <w:color w:val="auto"/>
          <w:kern w:val="44"/>
          <w:sz w:val="32"/>
          <w:szCs w:val="32"/>
          <w:highlight w:val="none"/>
        </w:rPr>
        <w:t>（</w:t>
      </w:r>
      <w:r>
        <w:rPr>
          <w:rFonts w:hint="eastAsia" w:ascii="仿宋_GB2312" w:hAnsi="仿宋_GB2312" w:eastAsia="仿宋_GB2312"/>
          <w:color w:val="auto"/>
          <w:kern w:val="44"/>
          <w:sz w:val="32"/>
          <w:szCs w:val="32"/>
          <w:highlight w:val="none"/>
          <w:lang w:val="en-US" w:eastAsia="zh-CN"/>
        </w:rPr>
        <w:t>7</w:t>
      </w:r>
      <w:r>
        <w:rPr>
          <w:rFonts w:hint="eastAsia" w:ascii="仿宋_GB2312" w:hAnsi="仿宋_GB2312" w:eastAsia="仿宋_GB2312"/>
          <w:color w:val="auto"/>
          <w:kern w:val="44"/>
          <w:sz w:val="32"/>
          <w:szCs w:val="32"/>
          <w:highlight w:val="none"/>
        </w:rPr>
        <w:t>）在全区范围发展和管理会员，开展各类会员服务和培训工作。</w:t>
      </w:r>
    </w:p>
    <w:p>
      <w:pPr>
        <w:keepNext w:val="0"/>
        <w:keepLines w:val="0"/>
        <w:pageBreakBefore w:val="0"/>
        <w:kinsoku/>
        <w:wordWrap/>
        <w:overflowPunct/>
        <w:topLinePunct w:val="0"/>
        <w:autoSpaceDE/>
        <w:autoSpaceDN/>
        <w:bidi w:val="0"/>
        <w:adjustRightInd/>
        <w:snapToGrid/>
        <w:spacing w:line="560" w:lineRule="exact"/>
        <w:ind w:firstLine="720" w:firstLineChars="225"/>
        <w:textAlignment w:val="auto"/>
        <w:rPr>
          <w:rFonts w:hint="eastAsia" w:ascii="仿宋_GB2312" w:hAnsi="仿宋_GB2312" w:eastAsia="仿宋_GB2312"/>
          <w:color w:val="auto"/>
          <w:kern w:val="44"/>
          <w:sz w:val="32"/>
          <w:szCs w:val="32"/>
          <w:highlight w:val="none"/>
        </w:rPr>
      </w:pPr>
      <w:r>
        <w:rPr>
          <w:rFonts w:hint="eastAsia" w:ascii="仿宋_GB2312" w:hAnsi="仿宋_GB2312" w:eastAsia="仿宋_GB2312"/>
          <w:color w:val="auto"/>
          <w:kern w:val="44"/>
          <w:sz w:val="32"/>
          <w:szCs w:val="32"/>
          <w:highlight w:val="none"/>
        </w:rPr>
        <w:t>（</w:t>
      </w:r>
      <w:r>
        <w:rPr>
          <w:rFonts w:hint="eastAsia" w:ascii="仿宋_GB2312" w:hAnsi="仿宋_GB2312" w:eastAsia="仿宋_GB2312"/>
          <w:color w:val="auto"/>
          <w:kern w:val="44"/>
          <w:sz w:val="32"/>
          <w:szCs w:val="32"/>
          <w:highlight w:val="none"/>
          <w:lang w:val="en-US" w:eastAsia="zh-CN"/>
        </w:rPr>
        <w:t>8</w:t>
      </w:r>
      <w:r>
        <w:rPr>
          <w:rFonts w:hint="eastAsia" w:ascii="仿宋_GB2312" w:hAnsi="仿宋_GB2312" w:eastAsia="仿宋_GB2312"/>
          <w:color w:val="auto"/>
          <w:kern w:val="44"/>
          <w:sz w:val="32"/>
          <w:szCs w:val="32"/>
          <w:highlight w:val="none"/>
        </w:rPr>
        <w:t>）接受海外企业、团体委托，代办在君山区设立代表处或办事处的申报手续，并做好相应服务工作。</w:t>
      </w:r>
    </w:p>
    <w:p>
      <w:pPr>
        <w:keepNext w:val="0"/>
        <w:keepLines w:val="0"/>
        <w:pageBreakBefore w:val="0"/>
        <w:kinsoku/>
        <w:wordWrap/>
        <w:overflowPunct/>
        <w:topLinePunct w:val="0"/>
        <w:autoSpaceDE/>
        <w:autoSpaceDN/>
        <w:bidi w:val="0"/>
        <w:adjustRightInd/>
        <w:snapToGrid/>
        <w:spacing w:line="560" w:lineRule="exact"/>
        <w:ind w:firstLine="600"/>
        <w:textAlignment w:val="auto"/>
        <w:rPr>
          <w:rFonts w:ascii="宋体" w:hAnsi="宋体" w:cs="Times New Roman"/>
          <w:kern w:val="0"/>
          <w:sz w:val="32"/>
          <w:szCs w:val="32"/>
          <w:highlight w:val="none"/>
        </w:rPr>
      </w:pPr>
      <w:r>
        <w:rPr>
          <w:rFonts w:hint="eastAsia" w:ascii="仿宋_GB2312" w:hAnsi="仿宋_GB2312" w:eastAsia="仿宋_GB2312"/>
          <w:color w:val="auto"/>
          <w:kern w:val="44"/>
          <w:sz w:val="32"/>
          <w:szCs w:val="32"/>
          <w:highlight w:val="none"/>
        </w:rPr>
        <w:t>（</w:t>
      </w:r>
      <w:r>
        <w:rPr>
          <w:rFonts w:hint="eastAsia" w:ascii="仿宋_GB2312" w:hAnsi="仿宋_GB2312" w:eastAsia="仿宋_GB2312"/>
          <w:color w:val="auto"/>
          <w:kern w:val="44"/>
          <w:sz w:val="32"/>
          <w:szCs w:val="32"/>
          <w:highlight w:val="none"/>
          <w:lang w:val="en-US" w:eastAsia="zh-CN"/>
        </w:rPr>
        <w:t>9</w:t>
      </w:r>
      <w:r>
        <w:rPr>
          <w:rFonts w:hint="eastAsia" w:ascii="仿宋_GB2312" w:hAnsi="仿宋_GB2312" w:eastAsia="仿宋_GB2312"/>
          <w:color w:val="auto"/>
          <w:kern w:val="44"/>
          <w:sz w:val="32"/>
          <w:szCs w:val="32"/>
          <w:highlight w:val="none"/>
        </w:rPr>
        <w:t>）</w:t>
      </w:r>
      <w:r>
        <w:rPr>
          <w:rFonts w:hint="eastAsia" w:ascii="仿宋_GB2312" w:hAnsi="仿宋_GB2312" w:eastAsia="仿宋_GB2312" w:cs="仿宋_GB2312"/>
          <w:color w:val="auto"/>
          <w:sz w:val="32"/>
          <w:szCs w:val="32"/>
          <w:highlight w:val="none"/>
        </w:rPr>
        <w:t>承办区委、区人民政府交办的其他工作</w:t>
      </w:r>
      <w:r>
        <w:rPr>
          <w:rFonts w:hint="eastAsia" w:ascii="仿宋_GB2312" w:hAnsi="仿宋_GB2312" w:eastAsia="仿宋_GB2312"/>
          <w:color w:val="auto"/>
          <w:kern w:val="44"/>
          <w:sz w:val="32"/>
          <w:szCs w:val="32"/>
          <w:highlight w:val="none"/>
        </w:rPr>
        <w:t>。</w:t>
      </w:r>
    </w:p>
    <w:p>
      <w:pPr>
        <w:spacing w:line="560" w:lineRule="exact"/>
        <w:ind w:firstLine="643" w:firstLineChars="200"/>
        <w:rPr>
          <w:rFonts w:hint="eastAsia" w:ascii="仿宋_GB2312" w:hAnsi="仿宋_GB2312" w:eastAsia="仿宋_GB2312" w:cs="仿宋_GB2312"/>
          <w:bCs/>
          <w:sz w:val="32"/>
          <w:szCs w:val="32"/>
        </w:rPr>
      </w:pPr>
      <w:r>
        <w:rPr>
          <w:rFonts w:hint="default" w:ascii="Times New Roman" w:hAnsi="Times New Roman" w:eastAsia="楷体_GB2312" w:cs="Times New Roman"/>
          <w:b/>
          <w:sz w:val="32"/>
          <w:szCs w:val="32"/>
          <w:highlight w:val="none"/>
        </w:rPr>
        <w:t>（</w:t>
      </w:r>
      <w:r>
        <w:rPr>
          <w:rFonts w:hint="eastAsia" w:ascii="Times New Roman" w:hAnsi="Times New Roman" w:eastAsia="楷体_GB2312" w:cs="Times New Roman"/>
          <w:b/>
          <w:sz w:val="32"/>
          <w:szCs w:val="32"/>
          <w:highlight w:val="none"/>
          <w:lang w:eastAsia="zh-CN"/>
        </w:rPr>
        <w:t>二</w:t>
      </w:r>
      <w:r>
        <w:rPr>
          <w:rFonts w:hint="default" w:ascii="Times New Roman" w:hAnsi="Times New Roman" w:eastAsia="楷体_GB2312" w:cs="Times New Roman"/>
          <w:b/>
          <w:sz w:val="32"/>
          <w:szCs w:val="32"/>
          <w:highlight w:val="none"/>
        </w:rPr>
        <w:t>）</w:t>
      </w:r>
      <w:r>
        <w:rPr>
          <w:rFonts w:hint="eastAsia" w:ascii="仿宋_GB2312" w:hAnsi="仿宋_GB2312" w:eastAsia="仿宋_GB2312" w:cs="仿宋_GB2312"/>
          <w:b/>
          <w:bCs w:val="0"/>
          <w:sz w:val="32"/>
          <w:szCs w:val="32"/>
        </w:rPr>
        <w:t>、机构设置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eastAsia="楷体_GB2312"/>
          <w:b/>
          <w:sz w:val="32"/>
          <w:szCs w:val="32"/>
        </w:rPr>
      </w:pPr>
      <w:r>
        <w:rPr>
          <w:rFonts w:hint="eastAsia" w:eastAsia="仿宋_GB2312"/>
          <w:sz w:val="32"/>
          <w:szCs w:val="32"/>
          <w:lang w:eastAsia="zh-CN"/>
        </w:rPr>
        <w:t>中国国际贸易促进委员会岳阳市君山区委员会</w:t>
      </w:r>
      <w:r>
        <w:rPr>
          <w:rFonts w:hint="eastAsia" w:eastAsia="仿宋_GB2312"/>
          <w:sz w:val="32"/>
          <w:szCs w:val="32"/>
        </w:rPr>
        <w:t>内设</w:t>
      </w:r>
      <w:r>
        <w:rPr>
          <w:rFonts w:hint="eastAsia" w:ascii="仿宋_GB2312" w:hAnsi="仿宋_GB2312" w:eastAsia="仿宋_GB2312" w:cs="仿宋_GB2312"/>
          <w:color w:val="000000"/>
          <w:kern w:val="44"/>
          <w:sz w:val="32"/>
          <w:szCs w:val="32"/>
          <w:highlight w:val="none"/>
          <w:lang w:val="en-US" w:eastAsia="zh-CN"/>
        </w:rPr>
        <w:t>2</w:t>
      </w:r>
      <w:r>
        <w:rPr>
          <w:rFonts w:hint="eastAsia" w:eastAsia="仿宋_GB2312"/>
          <w:sz w:val="32"/>
          <w:szCs w:val="32"/>
        </w:rPr>
        <w:t>个职能股室：</w:t>
      </w:r>
      <w:r>
        <w:rPr>
          <w:rFonts w:hint="eastAsia" w:ascii="仿宋_GB2312" w:hAnsi="仿宋_GB2312" w:eastAsia="仿宋_GB2312" w:cs="仿宋_GB2312"/>
          <w:color w:val="000000"/>
          <w:kern w:val="44"/>
          <w:sz w:val="32"/>
          <w:szCs w:val="32"/>
          <w:highlight w:val="none"/>
        </w:rPr>
        <w:t>办公室（法律事务部）</w:t>
      </w:r>
      <w:r>
        <w:rPr>
          <w:rFonts w:hint="eastAsia" w:ascii="仿宋_GB2312" w:hAnsi="仿宋_GB2312" w:eastAsia="仿宋_GB2312" w:cs="仿宋_GB2312"/>
          <w:color w:val="000000"/>
          <w:kern w:val="44"/>
          <w:sz w:val="32"/>
          <w:szCs w:val="32"/>
          <w:highlight w:val="none"/>
          <w:lang w:eastAsia="zh-CN"/>
        </w:rPr>
        <w:t>及</w:t>
      </w:r>
      <w:r>
        <w:rPr>
          <w:rFonts w:hint="eastAsia" w:ascii="仿宋_GB2312" w:hAnsi="仿宋_GB2312" w:eastAsia="仿宋_GB2312" w:cs="仿宋_GB2312"/>
          <w:color w:val="000000"/>
          <w:kern w:val="44"/>
          <w:sz w:val="32"/>
          <w:szCs w:val="32"/>
          <w:highlight w:val="none"/>
        </w:rPr>
        <w:t>会务部（国际展览部）</w:t>
      </w:r>
      <w:r>
        <w:rPr>
          <w:rFonts w:hint="eastAsia" w:eastAsia="仿宋_GB2312"/>
          <w:sz w:val="32"/>
          <w:szCs w:val="32"/>
        </w:rPr>
        <w:t>；核定区</w:t>
      </w:r>
      <w:r>
        <w:rPr>
          <w:rFonts w:hint="eastAsia" w:eastAsia="仿宋_GB2312"/>
          <w:sz w:val="32"/>
          <w:szCs w:val="32"/>
          <w:lang w:val="en-US" w:eastAsia="zh-CN"/>
        </w:rPr>
        <w:t>贸促会</w:t>
      </w:r>
      <w:r>
        <w:rPr>
          <w:rFonts w:hint="eastAsia" w:eastAsia="仿宋_GB2312"/>
          <w:sz w:val="32"/>
          <w:szCs w:val="32"/>
        </w:rPr>
        <w:t>全额拨款事业编制</w:t>
      </w:r>
      <w:r>
        <w:rPr>
          <w:rFonts w:hint="eastAsia" w:eastAsia="仿宋_GB2312"/>
          <w:sz w:val="32"/>
          <w:szCs w:val="32"/>
          <w:lang w:val="en-US" w:eastAsia="zh-CN"/>
        </w:rPr>
        <w:t>7</w:t>
      </w:r>
      <w:r>
        <w:rPr>
          <w:rFonts w:hint="eastAsia" w:eastAsia="仿宋_GB2312"/>
          <w:sz w:val="32"/>
          <w:szCs w:val="32"/>
        </w:rPr>
        <w:t>名，</w:t>
      </w:r>
      <w:r>
        <w:rPr>
          <w:rFonts w:hint="eastAsia" w:ascii="仿宋_GB2312" w:hAnsi="仿宋_GB2312" w:eastAsia="仿宋_GB2312" w:cs="仿宋_GB2312"/>
          <w:color w:val="000000"/>
          <w:kern w:val="44"/>
          <w:sz w:val="32"/>
          <w:szCs w:val="32"/>
          <w:highlight w:val="none"/>
          <w:lang w:val="en-US" w:eastAsia="zh-CN"/>
        </w:rPr>
        <w:t>编委3名</w:t>
      </w:r>
      <w:r>
        <w:rPr>
          <w:rFonts w:hint="eastAsia" w:ascii="仿宋_GB2312" w:hAnsi="仿宋_GB2312" w:eastAsia="仿宋_GB2312" w:cs="仿宋_GB2312"/>
          <w:color w:val="000000"/>
          <w:kern w:val="44"/>
          <w:sz w:val="32"/>
          <w:szCs w:val="32"/>
          <w:highlight w:val="none"/>
          <w:lang w:eastAsia="zh-CN"/>
        </w:rPr>
        <w:t>。</w:t>
      </w:r>
      <w:r>
        <w:rPr>
          <w:rFonts w:hint="eastAsia" w:ascii="仿宋_GB2312" w:hAnsi="仿宋_GB2312" w:eastAsia="仿宋_GB2312" w:cs="仿宋_GB2312"/>
          <w:color w:val="000000"/>
          <w:kern w:val="44"/>
          <w:sz w:val="32"/>
          <w:szCs w:val="32"/>
          <w:highlight w:val="none"/>
          <w:lang w:val="en-US" w:eastAsia="zh-CN"/>
        </w:rPr>
        <w:t>下设副科级</w:t>
      </w:r>
      <w:r>
        <w:rPr>
          <w:rFonts w:hint="eastAsia" w:ascii="仿宋_GB2312" w:hAnsi="仿宋_GB2312" w:eastAsia="仿宋_GB2312" w:cs="仿宋_GB2312"/>
          <w:color w:val="000000"/>
          <w:kern w:val="44"/>
          <w:sz w:val="32"/>
          <w:szCs w:val="32"/>
          <w:highlight w:val="none"/>
          <w:lang w:eastAsia="zh-CN"/>
        </w:rPr>
        <w:t>事业机构区投促事务中心，编制为</w:t>
      </w:r>
      <w:r>
        <w:rPr>
          <w:rFonts w:hint="eastAsia" w:ascii="仿宋_GB2312" w:hAnsi="仿宋_GB2312" w:eastAsia="仿宋_GB2312" w:cs="仿宋_GB2312"/>
          <w:color w:val="000000"/>
          <w:kern w:val="44"/>
          <w:sz w:val="32"/>
          <w:szCs w:val="32"/>
          <w:highlight w:val="none"/>
          <w:lang w:val="en-US" w:eastAsia="zh-CN"/>
        </w:rPr>
        <w:t>4</w:t>
      </w:r>
      <w:r>
        <w:rPr>
          <w:rFonts w:hint="eastAsia" w:ascii="仿宋_GB2312" w:hAnsi="仿宋_GB2312" w:eastAsia="仿宋_GB2312" w:cs="仿宋_GB2312"/>
          <w:color w:val="000000"/>
          <w:kern w:val="44"/>
          <w:sz w:val="32"/>
          <w:szCs w:val="32"/>
          <w:highlight w:val="none"/>
          <w:lang w:eastAsia="zh-CN"/>
        </w:rPr>
        <w:t>名</w:t>
      </w:r>
      <w:r>
        <w:rPr>
          <w:rFonts w:hint="eastAsia" w:eastAsia="仿宋_GB2312"/>
          <w:sz w:val="32"/>
          <w:szCs w:val="32"/>
        </w:rPr>
        <w:t>。</w:t>
      </w:r>
    </w:p>
    <w:p>
      <w:pPr>
        <w:pStyle w:val="9"/>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pPr>
        <w:pStyle w:val="9"/>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pPr>
        <w:pStyle w:val="9"/>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楷体_GB2312" w:cs="Times New Roman"/>
          <w:b w:val="0"/>
          <w:bCs/>
          <w:sz w:val="32"/>
          <w:szCs w:val="32"/>
          <w:lang w:eastAsia="zh-CN"/>
        </w:rPr>
      </w:pPr>
      <w:r>
        <w:rPr>
          <w:rFonts w:hint="eastAsia" w:ascii="仿宋_GB2312" w:hAnsi="仿宋_GB2312" w:eastAsia="仿宋_GB2312" w:cs="仿宋_GB2312"/>
          <w:kern w:val="2"/>
          <w:sz w:val="32"/>
          <w:szCs w:val="32"/>
          <w:lang w:val="en-US" w:eastAsia="zh-CN" w:bidi="ar-SA"/>
        </w:rPr>
        <w:t>2023年本单位部门预算资金206.46万元（基本支出206.46万元，项目支出0万元），全年实际支出206.46万元，其中基本支出206.46万元，项目支出0万元，预算执行率100%。　　　　　　</w:t>
      </w:r>
    </w:p>
    <w:p>
      <w:pPr>
        <w:pStyle w:val="9"/>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单位2023年度全年预算206.46万元（工资福利支出90.16万元、商品和服务支出104.71万元、对个人和家庭的补助0.25万元、资本性支出11.33万元），其中一般公共预算财政拨款206.41万元。本单位2023年度基本支出206.46万元（工资福利支出90.16万元、商品和服务支出104.71万元、资本性支出11.33万元、对个人和家庭的补助0.25万元），其中人员经费90.41万元，公用经费116.05万元。</w:t>
      </w:r>
    </w:p>
    <w:p>
      <w:pPr>
        <w:pStyle w:val="9"/>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eastAsia="仿宋_GB2312" w:cs="仿宋_GB2312"/>
          <w:kern w:val="0"/>
          <w:sz w:val="32"/>
          <w:szCs w:val="32"/>
          <w:lang w:val="en-US" w:eastAsia="zh-CN"/>
        </w:rPr>
      </w:pPr>
      <w:r>
        <w:rPr>
          <w:rFonts w:hint="eastAsia" w:ascii="仿宋_GB2312" w:hAnsi="仿宋_GB2312" w:eastAsia="仿宋_GB2312" w:cs="仿宋_GB2312"/>
          <w:kern w:val="2"/>
          <w:sz w:val="32"/>
          <w:szCs w:val="32"/>
          <w:lang w:val="en-US" w:eastAsia="zh-CN" w:bidi="ar-SA"/>
        </w:rPr>
        <w:t>基本支出主要</w:t>
      </w:r>
      <w:r>
        <w:rPr>
          <w:rFonts w:hint="eastAsia" w:eastAsia="仿宋_GB2312" w:cs="仿宋_GB2312"/>
          <w:kern w:val="0"/>
          <w:sz w:val="32"/>
          <w:szCs w:val="32"/>
          <w:lang w:eastAsia="zh-CN"/>
        </w:rPr>
        <w:t>是指为保障单位机构正常运转、完成日常工作任务而发生的各项支出，包括用于基本工资、</w:t>
      </w:r>
      <w:r>
        <w:rPr>
          <w:rFonts w:hint="eastAsia" w:eastAsia="仿宋_GB2312" w:cs="仿宋_GB2312"/>
          <w:kern w:val="0"/>
          <w:sz w:val="32"/>
          <w:szCs w:val="32"/>
          <w:lang w:val="en-US" w:eastAsia="zh-CN"/>
        </w:rPr>
        <w:t>绩效工资、</w:t>
      </w:r>
      <w:r>
        <w:rPr>
          <w:rFonts w:hint="eastAsia" w:eastAsia="仿宋_GB2312" w:cs="仿宋_GB2312"/>
          <w:kern w:val="0"/>
          <w:sz w:val="32"/>
          <w:szCs w:val="32"/>
          <w:lang w:eastAsia="zh-CN"/>
        </w:rPr>
        <w:t>津贴补贴、</w:t>
      </w:r>
      <w:r>
        <w:rPr>
          <w:rFonts w:hint="eastAsia" w:eastAsia="仿宋_GB2312" w:cs="仿宋_GB2312"/>
          <w:kern w:val="0"/>
          <w:sz w:val="32"/>
          <w:szCs w:val="32"/>
          <w:lang w:val="en-US" w:eastAsia="zh-CN"/>
        </w:rPr>
        <w:t>社会保障缴费</w:t>
      </w:r>
      <w:r>
        <w:rPr>
          <w:rFonts w:hint="eastAsia" w:eastAsia="仿宋_GB2312" w:cs="仿宋_GB2312"/>
          <w:kern w:val="0"/>
          <w:sz w:val="32"/>
          <w:szCs w:val="32"/>
          <w:lang w:eastAsia="zh-CN"/>
        </w:rPr>
        <w:t>等人员经费，办公费、印刷费、水电费、差旅费、</w:t>
      </w:r>
      <w:r>
        <w:rPr>
          <w:rFonts w:hint="eastAsia" w:eastAsia="仿宋_GB2312" w:cs="仿宋_GB2312"/>
          <w:kern w:val="0"/>
          <w:sz w:val="32"/>
          <w:szCs w:val="32"/>
          <w:lang w:val="en-US" w:eastAsia="zh-CN"/>
        </w:rPr>
        <w:t>公务接待费、维修（护）费</w:t>
      </w:r>
      <w:r>
        <w:rPr>
          <w:rFonts w:hint="eastAsia" w:eastAsia="仿宋_GB2312" w:cs="仿宋_GB2312"/>
          <w:kern w:val="0"/>
          <w:sz w:val="32"/>
          <w:szCs w:val="32"/>
          <w:lang w:eastAsia="zh-CN"/>
        </w:rPr>
        <w:t>等日常公用经费，</w:t>
      </w:r>
      <w:r>
        <w:rPr>
          <w:rFonts w:hint="eastAsia" w:eastAsia="仿宋_GB2312" w:cs="仿宋_GB2312"/>
          <w:kern w:val="0"/>
          <w:sz w:val="32"/>
          <w:szCs w:val="32"/>
          <w:lang w:val="en-US" w:eastAsia="zh-CN"/>
        </w:rPr>
        <w:t>以及离退休费用等其他对个人和家庭的补助支出。</w:t>
      </w:r>
    </w:p>
    <w:p>
      <w:pPr>
        <w:pStyle w:val="9"/>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（二）项目支出情况</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Chars="200" w:right="0" w:rightChars="0" w:firstLine="320" w:firstLineChars="1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2024年本单位项目支出0万元。</w:t>
      </w:r>
    </w:p>
    <w:p>
      <w:pPr>
        <w:pStyle w:val="9"/>
        <w:keepNext w:val="0"/>
        <w:keepLines w:val="0"/>
        <w:pageBreakBefore w:val="0"/>
        <w:widowControl/>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三、政府性基金预算支出情况</w:t>
      </w:r>
    </w:p>
    <w:p>
      <w:pPr>
        <w:pStyle w:val="9"/>
        <w:keepNext w:val="0"/>
        <w:keepLines w:val="0"/>
        <w:pageBreakBefore w:val="0"/>
        <w:widowControl/>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 xml:space="preserve"> 2023年本单位无此项支出。</w:t>
      </w:r>
    </w:p>
    <w:p>
      <w:pPr>
        <w:pStyle w:val="9"/>
        <w:keepNext w:val="0"/>
        <w:keepLines w:val="0"/>
        <w:pageBreakBefore w:val="0"/>
        <w:widowControl/>
        <w:numPr>
          <w:ilvl w:val="0"/>
          <w:numId w:val="3"/>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国有资本经营预算支出情况</w:t>
      </w:r>
    </w:p>
    <w:p>
      <w:pPr>
        <w:pStyle w:val="9"/>
        <w:keepNext w:val="0"/>
        <w:keepLines w:val="0"/>
        <w:pageBreakBefore w:val="0"/>
        <w:widowControl/>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t xml:space="preserve"> </w:t>
      </w:r>
      <w:r>
        <w:rPr>
          <w:rFonts w:hint="eastAsia" w:ascii="仿宋_GB2312" w:hAnsi="仿宋_GB2312" w:eastAsia="仿宋_GB2312" w:cs="仿宋_GB2312"/>
          <w:color w:val="000000"/>
          <w:kern w:val="2"/>
          <w:sz w:val="32"/>
          <w:szCs w:val="32"/>
          <w:shd w:val="clear" w:color="auto" w:fill="FFFFFF"/>
          <w:lang w:val="en-US" w:eastAsia="zh-CN" w:bidi="ar-SA"/>
        </w:rPr>
        <w:t>2023年本单位无此项支出。</w:t>
      </w:r>
    </w:p>
    <w:p>
      <w:pPr>
        <w:pStyle w:val="9"/>
        <w:keepNext w:val="0"/>
        <w:keepLines w:val="0"/>
        <w:pageBreakBefore w:val="0"/>
        <w:widowControl/>
        <w:numPr>
          <w:ilvl w:val="0"/>
          <w:numId w:val="3"/>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社会保险基金预算支出情况</w:t>
      </w:r>
    </w:p>
    <w:p>
      <w:pPr>
        <w:pStyle w:val="9"/>
        <w:keepNext w:val="0"/>
        <w:keepLines w:val="0"/>
        <w:pageBreakBefore w:val="0"/>
        <w:widowControl/>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 xml:space="preserve"> 2023年本单位无此项支出。</w:t>
      </w:r>
    </w:p>
    <w:p>
      <w:pPr>
        <w:pStyle w:val="9"/>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default" w:ascii="Times New Roman" w:hAnsi="Times New Roman" w:eastAsia="黑体" w:cs="Times New Roman"/>
          <w:sz w:val="32"/>
          <w:szCs w:val="32"/>
          <w:highlight w:val="none"/>
        </w:rPr>
      </w:pP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六、部门整体支出绩效情况</w:t>
      </w:r>
    </w:p>
    <w:p>
      <w:pPr>
        <w:pStyle w:val="9"/>
        <w:keepNext w:val="0"/>
        <w:keepLines w:val="0"/>
        <w:pageBreakBefore w:val="0"/>
        <w:widowControl/>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32"/>
          <w:szCs w:val="32"/>
          <w:lang w:val="en-US" w:eastAsia="zh-CN" w:bidi="ar-SA"/>
        </w:rPr>
      </w:pPr>
      <w:r>
        <w:rPr>
          <w:rFonts w:hint="eastAsia" w:ascii="Times New Roman" w:hAnsi="Times New Roman" w:eastAsia="黑体" w:cs="Times New Roman"/>
          <w:sz w:val="32"/>
          <w:szCs w:val="32"/>
          <w:lang w:eastAsia="zh-CN"/>
        </w:rPr>
        <w:t>　</w:t>
      </w:r>
      <w:r>
        <w:rPr>
          <w:rFonts w:hint="default" w:ascii="仿宋_GB2312" w:hAnsi="仿宋_GB2312" w:eastAsia="仿宋_GB2312" w:cs="仿宋_GB2312"/>
          <w:kern w:val="2"/>
          <w:sz w:val="32"/>
          <w:szCs w:val="32"/>
          <w:lang w:val="en-US" w:eastAsia="zh-CN" w:bidi="ar-SA"/>
        </w:rPr>
        <w:t>2023年，</w:t>
      </w:r>
      <w:r>
        <w:rPr>
          <w:rFonts w:hint="eastAsia" w:ascii="仿宋_GB2312" w:hAnsi="仿宋_GB2312" w:eastAsia="仿宋_GB2312" w:cs="仿宋_GB2312"/>
          <w:kern w:val="2"/>
          <w:sz w:val="32"/>
          <w:szCs w:val="32"/>
          <w:lang w:val="en-US" w:eastAsia="zh-CN" w:bidi="ar-SA"/>
        </w:rPr>
        <w:t>本单位</w:t>
      </w:r>
      <w:r>
        <w:rPr>
          <w:rFonts w:hint="default" w:ascii="仿宋_GB2312" w:hAnsi="仿宋_GB2312" w:eastAsia="仿宋_GB2312" w:cs="仿宋_GB2312"/>
          <w:kern w:val="2"/>
          <w:sz w:val="32"/>
          <w:szCs w:val="32"/>
          <w:lang w:val="en-US" w:eastAsia="zh-CN" w:bidi="ar-SA"/>
        </w:rPr>
        <w:t>积极履职，资金管理规范，</w:t>
      </w:r>
      <w:r>
        <w:rPr>
          <w:rFonts w:hint="eastAsia" w:ascii="仿宋_GB2312" w:hAnsi="仿宋_GB2312" w:eastAsia="仿宋_GB2312" w:cs="仿宋_GB2312"/>
          <w:kern w:val="2"/>
          <w:sz w:val="32"/>
          <w:szCs w:val="32"/>
          <w:lang w:val="en-US" w:eastAsia="zh-CN" w:bidi="ar-SA"/>
        </w:rPr>
        <w:t>资产</w:t>
      </w:r>
      <w:r>
        <w:rPr>
          <w:rFonts w:hint="default" w:ascii="仿宋_GB2312" w:hAnsi="仿宋_GB2312" w:eastAsia="仿宋_GB2312" w:cs="仿宋_GB2312"/>
          <w:kern w:val="2"/>
          <w:sz w:val="32"/>
          <w:szCs w:val="32"/>
          <w:lang w:val="en-US" w:eastAsia="zh-CN" w:bidi="ar-SA"/>
        </w:rPr>
        <w:t>管理到位，政策执行有力，较好地完成了年度工作目标，有效发挥了财政资金的使用效率。在人员经费支出上</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严格执行上级的各项制度;在</w:t>
      </w:r>
      <w:r>
        <w:rPr>
          <w:rFonts w:hint="eastAsia" w:ascii="仿宋_GB2312" w:hAnsi="仿宋_GB2312" w:eastAsia="仿宋_GB2312" w:cs="仿宋_GB2312"/>
          <w:kern w:val="2"/>
          <w:sz w:val="32"/>
          <w:szCs w:val="32"/>
          <w:lang w:val="en-US" w:eastAsia="zh-CN" w:bidi="ar-SA"/>
        </w:rPr>
        <w:t>公用</w:t>
      </w:r>
      <w:r>
        <w:rPr>
          <w:rFonts w:hint="default" w:ascii="仿宋_GB2312" w:hAnsi="仿宋_GB2312" w:eastAsia="仿宋_GB2312" w:cs="仿宋_GB2312"/>
          <w:kern w:val="2"/>
          <w:sz w:val="32"/>
          <w:szCs w:val="32"/>
          <w:lang w:val="en-US" w:eastAsia="zh-CN" w:bidi="ar-SA"/>
        </w:rPr>
        <w:t>经费使用上，</w:t>
      </w:r>
      <w:r>
        <w:rPr>
          <w:rFonts w:hint="eastAsia" w:ascii="仿宋_GB2312" w:hAnsi="仿宋_GB2312" w:eastAsia="仿宋_GB2312" w:cs="仿宋_GB2312"/>
          <w:kern w:val="2"/>
          <w:sz w:val="32"/>
          <w:szCs w:val="32"/>
          <w:lang w:val="en-US" w:eastAsia="zh-CN" w:bidi="ar-SA"/>
        </w:rPr>
        <w:t>严格执行预算</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在</w:t>
      </w:r>
      <w:r>
        <w:rPr>
          <w:rFonts w:hint="default" w:ascii="仿宋_GB2312" w:hAnsi="仿宋_GB2312" w:eastAsia="仿宋_GB2312" w:cs="仿宋_GB2312"/>
          <w:kern w:val="2"/>
          <w:sz w:val="32"/>
          <w:szCs w:val="32"/>
          <w:lang w:val="en-US" w:eastAsia="zh-CN" w:bidi="ar-SA"/>
        </w:rPr>
        <w:t>“三公”经费</w:t>
      </w:r>
      <w:r>
        <w:rPr>
          <w:rFonts w:hint="eastAsia" w:ascii="仿宋_GB2312" w:hAnsi="仿宋_GB2312" w:eastAsia="仿宋_GB2312" w:cs="仿宋_GB2312"/>
          <w:kern w:val="2"/>
          <w:sz w:val="32"/>
          <w:szCs w:val="32"/>
          <w:lang w:val="en-US" w:eastAsia="zh-CN" w:bidi="ar-SA"/>
        </w:rPr>
        <w:t>开支上，</w:t>
      </w:r>
      <w:r>
        <w:rPr>
          <w:rFonts w:hint="default" w:ascii="仿宋_GB2312" w:hAnsi="仿宋_GB2312" w:eastAsia="仿宋_GB2312" w:cs="仿宋_GB2312"/>
          <w:kern w:val="2"/>
          <w:sz w:val="32"/>
          <w:szCs w:val="32"/>
          <w:lang w:val="en-US" w:eastAsia="zh-CN" w:bidi="ar-SA"/>
        </w:rPr>
        <w:t>厉行节约，从严控制</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 xml:space="preserve">根据《部门整体支出绩效自评表》自评得分 </w:t>
      </w:r>
      <w:r>
        <w:rPr>
          <w:rFonts w:hint="eastAsia" w:ascii="仿宋_GB2312" w:hAnsi="仿宋_GB2312" w:eastAsia="仿宋_GB2312" w:cs="仿宋_GB2312"/>
          <w:kern w:val="2"/>
          <w:sz w:val="32"/>
          <w:szCs w:val="32"/>
          <w:lang w:val="en-US" w:eastAsia="zh-CN" w:bidi="ar-SA"/>
        </w:rPr>
        <w:t>98</w:t>
      </w:r>
      <w:r>
        <w:rPr>
          <w:rFonts w:hint="default" w:ascii="仿宋_GB2312" w:hAnsi="仿宋_GB2312" w:eastAsia="仿宋_GB2312" w:cs="仿宋_GB2312"/>
          <w:kern w:val="2"/>
          <w:sz w:val="32"/>
          <w:szCs w:val="32"/>
          <w:lang w:val="en-US" w:eastAsia="zh-CN" w:bidi="ar-SA"/>
        </w:rPr>
        <w:t>分(详见附表2)，部门整体支出绩效为“优”</w:t>
      </w:r>
    </w:p>
    <w:p>
      <w:pPr>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仿宋_GB2312" w:cs="Times New Roman"/>
          <w:b/>
          <w:bCs/>
          <w:color w:val="000000"/>
          <w:sz w:val="32"/>
          <w:szCs w:val="32"/>
          <w:highlight w:val="none"/>
        </w:rPr>
      </w:pPr>
      <w:r>
        <w:rPr>
          <w:rFonts w:hint="default" w:ascii="Times New Roman" w:hAnsi="Times New Roman" w:eastAsia="仿宋_GB2312" w:cs="Times New Roman"/>
          <w:b/>
          <w:bCs/>
          <w:color w:val="000000"/>
          <w:sz w:val="32"/>
          <w:szCs w:val="32"/>
          <w:highlight w:val="none"/>
        </w:rPr>
        <w:t>（一）2023年部门整体支出绩效目标设置及完成情况</w:t>
      </w:r>
    </w:p>
    <w:p>
      <w:pPr>
        <w:numPr>
          <w:ilvl w:val="0"/>
          <w:numId w:val="0"/>
        </w:numPr>
        <w:rPr>
          <w:rFonts w:hint="eastAsia"/>
          <w:sz w:val="30"/>
          <w:szCs w:val="30"/>
        </w:rPr>
      </w:pPr>
      <w:r>
        <w:rPr>
          <w:rFonts w:hint="eastAsia"/>
          <w:b/>
          <w:bCs/>
          <w:sz w:val="30"/>
          <w:szCs w:val="30"/>
          <w:lang w:val="en-US" w:eastAsia="zh-CN"/>
        </w:rPr>
        <w:t>目标1：</w:t>
      </w:r>
      <w:r>
        <w:rPr>
          <w:rFonts w:hint="eastAsia"/>
          <w:sz w:val="30"/>
          <w:szCs w:val="30"/>
        </w:rPr>
        <w:t>加强党建工作，增强班子活动。</w:t>
      </w:r>
    </w:p>
    <w:p>
      <w:pPr>
        <w:rPr>
          <w:rFonts w:hint="eastAsia"/>
          <w:sz w:val="30"/>
          <w:szCs w:val="30"/>
        </w:rPr>
      </w:pPr>
      <w:r>
        <w:rPr>
          <w:rFonts w:hint="eastAsia"/>
          <w:b/>
          <w:bCs/>
          <w:sz w:val="30"/>
          <w:szCs w:val="30"/>
          <w:lang w:val="en-US" w:eastAsia="zh-CN"/>
        </w:rPr>
        <w:t>完成情况：</w:t>
      </w:r>
      <w:r>
        <w:rPr>
          <w:rFonts w:hint="eastAsia" w:ascii="仿宋_GB2312" w:hAnsi="仿宋_GB2312" w:eastAsia="仿宋_GB2312" w:cs="仿宋_GB2312"/>
          <w:color w:val="000000"/>
          <w:sz w:val="32"/>
          <w:szCs w:val="32"/>
          <w:highlight w:val="none"/>
          <w:lang w:val="en-US" w:eastAsia="zh-CN"/>
        </w:rPr>
        <w:t>2023年，全单位已开展各类党建活动与集中学习10余次</w:t>
      </w:r>
      <w:r>
        <w:rPr>
          <w:rFonts w:hint="eastAsia"/>
          <w:sz w:val="30"/>
          <w:szCs w:val="30"/>
        </w:rPr>
        <w:t>。</w:t>
      </w:r>
    </w:p>
    <w:p>
      <w:pPr>
        <w:rPr>
          <w:rFonts w:hint="eastAsia"/>
          <w:sz w:val="30"/>
          <w:szCs w:val="30"/>
        </w:rPr>
      </w:pPr>
      <w:r>
        <w:rPr>
          <w:rFonts w:hint="eastAsia"/>
          <w:b/>
          <w:bCs/>
          <w:sz w:val="30"/>
          <w:szCs w:val="30"/>
          <w:lang w:val="en-US" w:eastAsia="zh-CN"/>
        </w:rPr>
        <w:t>目标2：</w:t>
      </w:r>
      <w:r>
        <w:rPr>
          <w:rFonts w:hint="eastAsia"/>
          <w:sz w:val="30"/>
          <w:szCs w:val="30"/>
          <w:lang w:val="en-US" w:eastAsia="zh-CN"/>
        </w:rPr>
        <w:t>全力以赴促提升、挑重担，在大力投促招商引资上真抓实干创一流</w:t>
      </w:r>
      <w:r>
        <w:rPr>
          <w:rFonts w:hint="eastAsia"/>
          <w:sz w:val="30"/>
          <w:szCs w:val="30"/>
        </w:rPr>
        <w:t>。</w:t>
      </w:r>
    </w:p>
    <w:p>
      <w:pPr>
        <w:rPr>
          <w:rFonts w:hint="eastAsia" w:ascii="宋体" w:hAnsi="宋体" w:cs="宋体"/>
          <w:sz w:val="30"/>
          <w:szCs w:val="30"/>
        </w:rPr>
      </w:pPr>
      <w:r>
        <w:rPr>
          <w:rFonts w:hint="eastAsia"/>
          <w:b/>
          <w:bCs/>
          <w:sz w:val="30"/>
          <w:szCs w:val="30"/>
          <w:lang w:val="en-US" w:eastAsia="zh-CN"/>
        </w:rPr>
        <w:t>完成情况：</w:t>
      </w:r>
      <w:r>
        <w:rPr>
          <w:rFonts w:hint="eastAsia" w:ascii="仿宋_GB2312" w:hAnsi="仿宋_GB2312" w:eastAsia="仿宋_GB2312" w:cs="仿宋_GB2312"/>
          <w:color w:val="000000"/>
          <w:sz w:val="32"/>
          <w:szCs w:val="32"/>
          <w:highlight w:val="none"/>
        </w:rPr>
        <w:t>全区内联引资实际到位资金</w:t>
      </w:r>
      <w:r>
        <w:rPr>
          <w:rFonts w:hint="eastAsia" w:ascii="仿宋_GB2312" w:hAnsi="仿宋_GB2312" w:eastAsia="仿宋_GB2312" w:cs="仿宋_GB2312"/>
          <w:color w:val="000000"/>
          <w:sz w:val="32"/>
          <w:szCs w:val="32"/>
          <w:highlight w:val="none"/>
          <w:lang w:val="en-US" w:eastAsia="zh-CN"/>
        </w:rPr>
        <w:t>50</w:t>
      </w:r>
      <w:r>
        <w:rPr>
          <w:rFonts w:hint="eastAsia" w:ascii="仿宋_GB2312" w:hAnsi="仿宋_GB2312" w:eastAsia="仿宋_GB2312" w:cs="仿宋_GB2312"/>
          <w:color w:val="000000"/>
          <w:sz w:val="32"/>
          <w:szCs w:val="32"/>
          <w:highlight w:val="none"/>
        </w:rPr>
        <w:t>亿元；新签约项目共计</w:t>
      </w:r>
      <w:r>
        <w:rPr>
          <w:rFonts w:hint="eastAsia" w:ascii="仿宋_GB2312" w:hAnsi="仿宋_GB2312" w:eastAsia="仿宋_GB2312" w:cs="仿宋_GB2312"/>
          <w:color w:val="000000"/>
          <w:sz w:val="32"/>
          <w:szCs w:val="32"/>
          <w:highlight w:val="none"/>
          <w:lang w:val="en-US" w:eastAsia="zh-CN"/>
        </w:rPr>
        <w:t>73</w:t>
      </w:r>
      <w:r>
        <w:rPr>
          <w:rFonts w:hint="eastAsia" w:ascii="仿宋_GB2312" w:hAnsi="仿宋_GB2312" w:eastAsia="仿宋_GB2312" w:cs="仿宋_GB2312"/>
          <w:color w:val="000000"/>
          <w:sz w:val="32"/>
          <w:szCs w:val="32"/>
          <w:highlight w:val="none"/>
        </w:rPr>
        <w:t>个，合同引资</w:t>
      </w:r>
      <w:r>
        <w:rPr>
          <w:rFonts w:hint="eastAsia" w:ascii="仿宋_GB2312" w:hAnsi="仿宋_GB2312" w:eastAsia="仿宋_GB2312" w:cs="仿宋_GB2312"/>
          <w:color w:val="000000"/>
          <w:sz w:val="32"/>
          <w:szCs w:val="32"/>
          <w:highlight w:val="none"/>
          <w:lang w:val="en-US" w:eastAsia="zh-CN"/>
        </w:rPr>
        <w:t>119.7</w:t>
      </w:r>
      <w:r>
        <w:rPr>
          <w:rFonts w:hint="eastAsia" w:ascii="仿宋_GB2312" w:hAnsi="仿宋_GB2312" w:eastAsia="仿宋_GB2312" w:cs="仿宋_GB2312"/>
          <w:color w:val="000000"/>
          <w:sz w:val="32"/>
          <w:szCs w:val="32"/>
          <w:highlight w:val="none"/>
        </w:rPr>
        <w:t>亿元，其中开工项目</w:t>
      </w:r>
      <w:r>
        <w:rPr>
          <w:rFonts w:hint="eastAsia" w:ascii="仿宋_GB2312" w:hAnsi="仿宋_GB2312" w:eastAsia="仿宋_GB2312" w:cs="仿宋_GB2312"/>
          <w:color w:val="000000"/>
          <w:sz w:val="32"/>
          <w:szCs w:val="32"/>
          <w:highlight w:val="none"/>
          <w:lang w:val="en-US" w:eastAsia="zh-CN"/>
        </w:rPr>
        <w:t>43</w:t>
      </w:r>
      <w:r>
        <w:rPr>
          <w:rFonts w:hint="eastAsia" w:ascii="仿宋_GB2312" w:hAnsi="仿宋_GB2312" w:eastAsia="仿宋_GB2312" w:cs="仿宋_GB2312"/>
          <w:color w:val="000000"/>
          <w:sz w:val="32"/>
          <w:szCs w:val="32"/>
          <w:highlight w:val="none"/>
        </w:rPr>
        <w:t>个，竣工项目</w:t>
      </w:r>
      <w:r>
        <w:rPr>
          <w:rFonts w:hint="eastAsia" w:ascii="仿宋_GB2312" w:hAnsi="仿宋_GB2312" w:eastAsia="仿宋_GB2312" w:cs="仿宋_GB2312"/>
          <w:color w:val="000000"/>
          <w:spacing w:val="-6"/>
          <w:sz w:val="32"/>
          <w:szCs w:val="32"/>
          <w:highlight w:val="none"/>
          <w:lang w:val="en-US" w:eastAsia="zh-CN"/>
        </w:rPr>
        <w:t>31</w:t>
      </w:r>
      <w:r>
        <w:rPr>
          <w:rFonts w:hint="eastAsia" w:ascii="仿宋_GB2312" w:hAnsi="仿宋_GB2312" w:eastAsia="仿宋_GB2312" w:cs="仿宋_GB2312"/>
          <w:color w:val="000000"/>
          <w:spacing w:val="-6"/>
          <w:sz w:val="32"/>
          <w:szCs w:val="32"/>
          <w:highlight w:val="none"/>
        </w:rPr>
        <w:t>个，暂未开工项目</w:t>
      </w:r>
      <w:r>
        <w:rPr>
          <w:rFonts w:hint="eastAsia" w:ascii="仿宋_GB2312" w:hAnsi="仿宋_GB2312" w:eastAsia="仿宋_GB2312" w:cs="仿宋_GB2312"/>
          <w:color w:val="000000"/>
          <w:spacing w:val="-6"/>
          <w:sz w:val="32"/>
          <w:szCs w:val="32"/>
          <w:highlight w:val="none"/>
          <w:lang w:val="en-US" w:eastAsia="zh-CN"/>
        </w:rPr>
        <w:t>30</w:t>
      </w:r>
      <w:r>
        <w:rPr>
          <w:rFonts w:hint="eastAsia" w:ascii="仿宋_GB2312" w:hAnsi="仿宋_GB2312" w:eastAsia="仿宋_GB2312" w:cs="仿宋_GB2312"/>
          <w:color w:val="000000"/>
          <w:spacing w:val="-6"/>
          <w:sz w:val="32"/>
          <w:szCs w:val="32"/>
          <w:highlight w:val="none"/>
        </w:rPr>
        <w:t>个；新注册三类500强企业3家,占年度目标的300%</w:t>
      </w:r>
      <w:r>
        <w:rPr>
          <w:rFonts w:hint="eastAsia" w:ascii="宋体" w:hAnsi="宋体" w:cs="宋体"/>
          <w:sz w:val="30"/>
          <w:szCs w:val="30"/>
        </w:rPr>
        <w:t>。</w:t>
      </w:r>
    </w:p>
    <w:p>
      <w:pPr>
        <w:rPr>
          <w:rFonts w:hint="eastAsia" w:ascii="宋体" w:hAnsi="宋体" w:cs="宋体"/>
          <w:sz w:val="30"/>
          <w:szCs w:val="30"/>
        </w:rPr>
      </w:pPr>
      <w:r>
        <w:rPr>
          <w:rFonts w:hint="eastAsia"/>
          <w:b/>
          <w:bCs/>
          <w:sz w:val="30"/>
          <w:szCs w:val="30"/>
          <w:lang w:val="en-US" w:eastAsia="zh-CN"/>
        </w:rPr>
        <w:t>目标3：</w:t>
      </w:r>
      <w:r>
        <w:rPr>
          <w:rFonts w:hint="eastAsia" w:ascii="仿宋_GB2312" w:hAnsi="仿宋_GB2312" w:eastAsia="仿宋_GB2312" w:cs="仿宋_GB2312"/>
          <w:color w:val="000000"/>
          <w:sz w:val="32"/>
          <w:szCs w:val="32"/>
          <w:highlight w:val="none"/>
          <w:lang w:val="en-US" w:eastAsia="zh-CN"/>
        </w:rPr>
        <w:t>在贸促开放优化营商环境上真抓实干创一流。</w:t>
      </w:r>
    </w:p>
    <w:p>
      <w:pPr>
        <w:rPr>
          <w:sz w:val="30"/>
          <w:szCs w:val="30"/>
        </w:rPr>
      </w:pPr>
      <w:r>
        <w:rPr>
          <w:rFonts w:hint="eastAsia"/>
          <w:b/>
          <w:bCs/>
          <w:sz w:val="30"/>
          <w:szCs w:val="30"/>
          <w:lang w:val="en-US" w:eastAsia="zh-CN"/>
        </w:rPr>
        <w:t>完成情况：</w:t>
      </w:r>
      <w:r>
        <w:rPr>
          <w:rFonts w:hint="eastAsia" w:ascii="仿宋_GB2312" w:hAnsi="仿宋_GB2312" w:eastAsia="仿宋_GB2312" w:cs="仿宋_GB2312"/>
          <w:b w:val="0"/>
          <w:bCs w:val="0"/>
          <w:sz w:val="32"/>
          <w:szCs w:val="32"/>
          <w:lang w:val="en-US" w:eastAsia="zh-CN"/>
        </w:rPr>
        <w:t>全年共组织</w:t>
      </w:r>
      <w:r>
        <w:rPr>
          <w:rFonts w:hint="eastAsia" w:ascii="仿宋_GB2312" w:hAnsi="仿宋_GB2312" w:eastAsia="仿宋_GB2312" w:cs="仿宋_GB2312"/>
          <w:sz w:val="32"/>
          <w:szCs w:val="32"/>
          <w:lang w:val="en-US" w:eastAsia="zh-CN"/>
        </w:rPr>
        <w:t>企业参加国际化经营合规风险排查、中国贸促会RCEP政策解读与利用暨商事法律实务的培训、中国贸促会自贸协定政策解读与利用专题培训等各类市场开拓业务培训5次，提升了企业管理水平和防范风险的能力，增强了企业参与国际合作与竞争的本领，能够更好的开拓外贸市场。</w:t>
      </w:r>
    </w:p>
    <w:p>
      <w:pPr>
        <w:ind w:firstLine="643" w:firstLineChars="200"/>
        <w:rPr>
          <w:rFonts w:ascii="微软雅黑" w:hAnsi="微软雅黑" w:eastAsia="微软雅黑" w:cs="微软雅黑"/>
          <w:i w:val="0"/>
          <w:iCs w:val="0"/>
          <w:caps w:val="0"/>
          <w:color w:val="333333"/>
          <w:spacing w:val="0"/>
          <w:sz w:val="24"/>
          <w:szCs w:val="24"/>
        </w:rPr>
      </w:pPr>
      <w:r>
        <w:rPr>
          <w:rFonts w:hint="eastAsia" w:ascii="楷体_GB2312" w:hAnsi="微软雅黑" w:eastAsia="楷体_GB2312" w:cs="楷体_GB2312"/>
          <w:b/>
          <w:bCs/>
          <w:i w:val="0"/>
          <w:iCs w:val="0"/>
          <w:caps w:val="0"/>
          <w:color w:val="000000"/>
          <w:spacing w:val="0"/>
          <w:kern w:val="0"/>
          <w:sz w:val="32"/>
          <w:szCs w:val="32"/>
          <w:shd w:val="clear" w:fill="FFFFFF"/>
          <w:lang w:val="en-US" w:eastAsia="zh-CN" w:bidi="ar"/>
        </w:rPr>
        <w:t>（二）</w:t>
      </w:r>
      <w:r>
        <w:rPr>
          <w:rFonts w:ascii="楷体_GB2312" w:hAnsi="微软雅黑" w:eastAsia="楷体_GB2312" w:cs="楷体_GB2312"/>
          <w:b/>
          <w:bCs/>
          <w:i w:val="0"/>
          <w:iCs w:val="0"/>
          <w:caps w:val="0"/>
          <w:color w:val="000000"/>
          <w:spacing w:val="0"/>
          <w:kern w:val="0"/>
          <w:sz w:val="32"/>
          <w:szCs w:val="32"/>
          <w:shd w:val="clear" w:fill="FFFFFF"/>
          <w:lang w:val="en-US" w:eastAsia="zh-CN" w:bidi="ar"/>
        </w:rPr>
        <w:t>单位资产管理和整体业务实施效果情况</w:t>
      </w:r>
    </w:p>
    <w:p>
      <w:pPr>
        <w:ind w:firstLine="600" w:firstLineChars="200"/>
        <w:rPr>
          <w:rFonts w:hint="default" w:ascii="仿宋_GB2312" w:hAnsi="仿宋_GB2312" w:eastAsia="仿宋_GB2312" w:cs="仿宋_GB2312"/>
          <w:kern w:val="2"/>
          <w:sz w:val="32"/>
          <w:szCs w:val="32"/>
          <w:lang w:val="en-US" w:eastAsia="zh-CN" w:bidi="ar-SA"/>
        </w:rPr>
      </w:pPr>
      <w:r>
        <w:rPr>
          <w:rFonts w:hint="default"/>
          <w:sz w:val="30"/>
          <w:szCs w:val="30"/>
          <w:lang w:val="en-US" w:eastAsia="zh-CN"/>
        </w:rPr>
        <w:t>本单位资产设有专</w:t>
      </w:r>
      <w:r>
        <w:rPr>
          <w:rFonts w:hint="eastAsia"/>
          <w:sz w:val="30"/>
          <w:szCs w:val="30"/>
          <w:lang w:val="en-US" w:eastAsia="zh-CN"/>
        </w:rPr>
        <w:t>门人员将单位所有资产全部录入固定资产信息系统</w:t>
      </w:r>
      <w:r>
        <w:rPr>
          <w:rFonts w:hint="default"/>
          <w:sz w:val="30"/>
          <w:szCs w:val="30"/>
          <w:lang w:val="en-US" w:eastAsia="zh-CN"/>
        </w:rPr>
        <w:t>,</w:t>
      </w:r>
      <w:r>
        <w:rPr>
          <w:rFonts w:hint="eastAsia"/>
          <w:sz w:val="30"/>
          <w:szCs w:val="30"/>
          <w:lang w:val="en-US" w:eastAsia="zh-CN"/>
        </w:rPr>
        <w:t>实行动态管理。资产配置严格按照规定程序报批，坚持资产配备与单位履行职能需要相适应，坚持资产管理与预算管理相结合。资产利用率高，资产配置基本合理，人均占有办公室使用面积、人均占有通用设备数量等指标均在正常范围。科学管理和使用国有资产</w:t>
      </w:r>
      <w:r>
        <w:rPr>
          <w:rFonts w:hint="default"/>
          <w:sz w:val="30"/>
          <w:szCs w:val="30"/>
          <w:lang w:val="en-US" w:eastAsia="zh-CN"/>
        </w:rPr>
        <w:t>,</w:t>
      </w:r>
      <w:r>
        <w:rPr>
          <w:rFonts w:hint="eastAsia"/>
          <w:sz w:val="30"/>
          <w:szCs w:val="30"/>
          <w:lang w:val="en-US" w:eastAsia="zh-CN"/>
        </w:rPr>
        <w:t>保障单位正常运转的同时，合理配备并有效使用资产，充分发挥了国有资产的使用效益和社会效益。</w:t>
      </w:r>
    </w:p>
    <w:p>
      <w:pPr>
        <w:pStyle w:val="9"/>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仿宋_GB2312" w:hAnsi="仿宋_GB2312" w:eastAsia="仿宋_GB2312" w:cs="仿宋_GB2312"/>
          <w:kern w:val="2"/>
          <w:sz w:val="32"/>
          <w:szCs w:val="32"/>
          <w:lang w:val="en-US" w:eastAsia="zh-CN" w:bidi="ar-SA"/>
        </w:rPr>
        <w:t>（一）预算精准性有待进一步提高</w:t>
      </w:r>
      <w:r>
        <w:rPr>
          <w:rFonts w:hint="eastAsia" w:ascii="Times New Roman" w:hAnsi="Times New Roman" w:eastAsia="楷体_GB2312" w:cs="Times New Roman"/>
          <w:b w:val="0"/>
          <w:bCs/>
          <w:kern w:val="0"/>
          <w:sz w:val="32"/>
          <w:szCs w:val="32"/>
          <w:lang w:val="en-US" w:eastAsia="zh-CN" w:bidi="ar-SA"/>
        </w:rPr>
        <w:t>。</w:t>
      </w:r>
      <w:r>
        <w:rPr>
          <w:rFonts w:hint="eastAsia" w:ascii="Times New Roman" w:hAnsi="Times New Roman" w:eastAsia="仿宋_GB2312" w:cs="Times New Roman"/>
          <w:sz w:val="32"/>
          <w:szCs w:val="32"/>
          <w:lang w:val="en-US" w:eastAsia="zh-CN"/>
        </w:rPr>
        <w:t>由于预算编制具有不可预见性，年初安排预算时，对各项公用支出的分配安排缺乏统一的硬性标准，导致部分资金使用时需要进行指标调剂。</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Chars="0" w:right="0" w:rightChars="0"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仿宋_GB2312" w:hAnsi="仿宋_GB2312" w:eastAsia="仿宋_GB2312" w:cs="仿宋_GB2312"/>
          <w:kern w:val="2"/>
          <w:sz w:val="32"/>
          <w:szCs w:val="32"/>
          <w:lang w:val="en-US" w:eastAsia="zh-CN" w:bidi="ar-SA"/>
        </w:rPr>
        <w:t>（二）预算绩效管理意识有待进一步加强，预算绩效管理的工作方法方式有待创新。</w:t>
      </w:r>
      <w:r>
        <w:rPr>
          <w:rFonts w:hint="eastAsia" w:ascii="Times New Roman" w:hAnsi="Times New Roman" w:eastAsia="仿宋_GB2312" w:cs="Times New Roman"/>
          <w:sz w:val="32"/>
          <w:szCs w:val="32"/>
          <w:lang w:val="en-US" w:eastAsia="zh-CN"/>
        </w:rPr>
        <w:t>预算绩效管理工作贯穿全年，与各个业务股室息息相关，由于对预算绩效管理的全面性和重要性缺乏深入的了解，统揽全局的意识有所欠缺，导致预算绩效管理工作在推动过程中能够很好地完成各项工作任务，但工作质量难以实现质的飞跃。</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kern w:val="2"/>
          <w:sz w:val="32"/>
          <w:szCs w:val="32"/>
          <w:lang w:val="en-US" w:eastAsia="zh-CN" w:bidi="ar-SA"/>
        </w:rPr>
        <w:t>财务业务水平有待进一步提高。</w:t>
      </w:r>
      <w:r>
        <w:rPr>
          <w:rFonts w:hint="eastAsia" w:ascii="Times New Roman" w:hAnsi="Times New Roman" w:eastAsia="仿宋_GB2312" w:cs="Times New Roman"/>
          <w:sz w:val="32"/>
          <w:szCs w:val="32"/>
          <w:lang w:val="en-US" w:eastAsia="zh-CN"/>
        </w:rPr>
        <w:t>由于财务工作内容变化较大，各项制度、政策更新快，加之财务人员忙于琐碎的日常工作，对各项新知识、新业务的学习时间、精力有限，导致财务人员预算绩效管理工作水平一般，在将预算绩效管理转化成工作成果，更好地指导各项工作的开展方面有所欠缺。</w:t>
      </w:r>
    </w:p>
    <w:p>
      <w:pPr>
        <w:keepNext w:val="0"/>
        <w:keepLines w:val="0"/>
        <w:pageBreakBefore w:val="0"/>
        <w:widowControl/>
        <w:numPr>
          <w:ilvl w:val="0"/>
          <w:numId w:val="5"/>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下一步改进措施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（一）加强预算编制的前瞻性，提高预算编制水平</w:t>
      </w:r>
      <w:r>
        <w:rPr>
          <w:rFonts w:hint="eastAsia" w:ascii="楷体" w:hAnsi="楷体" w:eastAsia="楷体" w:cs="楷体"/>
          <w:sz w:val="32"/>
          <w:szCs w:val="32"/>
          <w:lang w:val="en-US" w:eastAsia="zh-CN"/>
        </w:rPr>
        <w:t>。</w:t>
      </w:r>
      <w:r>
        <w:rPr>
          <w:rFonts w:hint="eastAsia" w:ascii="Times New Roman" w:hAnsi="Times New Roman" w:eastAsia="仿宋_GB2312" w:cs="Times New Roman"/>
          <w:sz w:val="32"/>
          <w:szCs w:val="32"/>
          <w:lang w:val="en-US" w:eastAsia="zh-CN"/>
        </w:rPr>
        <w:t>进一步提高预算编制的科学性、合理性、严谨性和可控性，紧密结合上一年度预算执行情况和本年度预算收支变化因素，科学、合理地编制本年预算草案，避免出现预算支出与预算执行出现偏差较大的情况。落实预算执行分析，及时了解预算执行差异，合理调整、纠正预算执行偏差，切实提高部门预算收支管理水平。</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牢固树立预算绩效管理贯穿全局的理念，进一步创新工作方式方法。切实做好预算绩效管理的上传下达工作，在全单位形成将预算绩效管理意识融入到业务工作中的意识，多向优秀典型案例学习，拓宽工作思路，多想办法，想好办法，自觉提高预算绩效管理能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加大财务人员培训力度，提高财务人员从业水平。督促财务人员树立常学常新的理念，及时更新知识体系，通过加大对财务人员预算绩效管理理论水平和实操的培训，提高将预算绩效管理转化成生产力的能力，更好地提高本单位的管理水平，促进各项事业更好发展。</w:t>
      </w:r>
    </w:p>
    <w:p>
      <w:pPr>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p>
    <w:p>
      <w:pPr>
        <w:keepNext w:val="0"/>
        <w:keepLines w:val="0"/>
        <w:pageBreakBefore w:val="0"/>
        <w:widowControl/>
        <w:numPr>
          <w:ilvl w:val="0"/>
          <w:numId w:val="5"/>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部门整体支出绩效自评结果拟应用和公开情况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单位2023年度部门整体支出绩效自评结果拟按湖南省财政厅关于印发《湖南省预算支出绩效评价管理办法》的通知（湘财绩〔2020〕7号）要求，在整体支出项目绩效目标编制申报时，根据项目实际情况和预期可达成的目标，设置更科学合理的指标。严格按规定内容、时限在君山区政务中心门户网站公开，接受社会监督。</w:t>
      </w:r>
    </w:p>
    <w:p>
      <w:pPr>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p>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十、</w:t>
      </w:r>
      <w:r>
        <w:rPr>
          <w:rFonts w:hint="default" w:ascii="Times New Roman" w:hAnsi="Times New Roman" w:eastAsia="黑体" w:cs="Times New Roman"/>
          <w:sz w:val="32"/>
          <w:szCs w:val="32"/>
          <w:highlight w:val="none"/>
        </w:rPr>
        <w:t>其他需要说明的情况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无</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br w:type="page"/>
      </w:r>
      <w:r>
        <w:rPr>
          <w:rFonts w:hint="eastAsia" w:ascii="仿宋_GB2312" w:hAnsi="仿宋_GB2312" w:eastAsia="仿宋_GB2312" w:cs="仿宋_GB2312"/>
          <w:sz w:val="32"/>
          <w:szCs w:val="32"/>
          <w:highlight w:val="none"/>
        </w:rPr>
        <w:t>附件：</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部门整体支出绩效评价基础数据表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部门整体支出绩效自评表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部门整体支出绩效自评工作考核评分表</w:t>
      </w:r>
    </w:p>
    <w:p>
      <w:pPr>
        <w:spacing w:after="120" w:afterLines="50" w:line="600" w:lineRule="exact"/>
        <w:jc w:val="both"/>
        <w:rPr>
          <w:rFonts w:hint="eastAsia" w:ascii="方正小标宋简体" w:hAnsi="方正小标宋简体" w:eastAsia="方正小标宋简体" w:cs="方正小标宋简体"/>
          <w:sz w:val="36"/>
          <w:szCs w:val="36"/>
          <w:highlight w:val="none"/>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spacing w:after="120" w:afterLines="50" w:line="600" w:lineRule="exact"/>
        <w:jc w:val="both"/>
        <w:rPr>
          <w:rFonts w:hint="eastAsia" w:ascii="黑体" w:hAnsi="黑体" w:eastAsia="黑体" w:cs="黑体"/>
          <w:sz w:val="32"/>
          <w:szCs w:val="32"/>
          <w:highlight w:val="none"/>
          <w:lang w:eastAsia="zh-CN"/>
        </w:rPr>
      </w:pPr>
    </w:p>
    <w:p>
      <w:pPr>
        <w:spacing w:after="120" w:afterLines="50" w:line="60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pPr>
        <w:spacing w:after="120" w:afterLines="50" w:line="600" w:lineRule="exact"/>
        <w:ind w:firstLine="1080" w:firstLineChars="300"/>
        <w:jc w:val="both"/>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3</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6"/>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tblPrEx>
          <w:tblCellMar>
            <w:top w:w="0" w:type="dxa"/>
            <w:left w:w="108" w:type="dxa"/>
            <w:bottom w:w="0" w:type="dxa"/>
            <w:right w:w="108" w:type="dxa"/>
          </w:tblCellMar>
        </w:tblPrEx>
        <w:trPr>
          <w:trHeight w:val="23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8</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8</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100%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21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2</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8.61</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11.64</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11.64</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8.61</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11.64</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11.64</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198.06</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4.招商引资</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198.06</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14.6</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116.05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116.05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FF0000"/>
                <w:sz w:val="20"/>
                <w:szCs w:val="20"/>
                <w:highlight w:val="none"/>
                <w:lang w:val="en-US"/>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宋体" w:hAnsi="宋体" w:cs="宋体"/>
                <w:i w:val="0"/>
                <w:iCs w:val="0"/>
                <w:color w:val="000000"/>
                <w:kern w:val="0"/>
                <w:sz w:val="22"/>
                <w:szCs w:val="22"/>
                <w:u w:val="none"/>
                <w:lang w:val="en-US" w:eastAsia="zh-CN" w:bidi="ar"/>
              </w:rPr>
              <w:t>18.06</w:t>
            </w:r>
            <w:r>
              <w:rPr>
                <w:rFonts w:hint="eastAsia" w:ascii="仿宋_GB2312" w:hAnsi="仿宋_GB2312" w:eastAsia="仿宋_GB2312" w:cs="仿宋_GB2312"/>
                <w:color w:val="FF0000"/>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宋体" w:hAnsi="宋体" w:cs="宋体"/>
                <w:i w:val="0"/>
                <w:iCs w:val="0"/>
                <w:color w:val="000000"/>
                <w:kern w:val="0"/>
                <w:sz w:val="22"/>
                <w:szCs w:val="22"/>
                <w:u w:val="none"/>
                <w:lang w:val="en-US" w:eastAsia="zh-CN" w:bidi="ar"/>
              </w:rPr>
              <w:t>18.06</w:t>
            </w:r>
            <w:r>
              <w:rPr>
                <w:rFonts w:hint="eastAsia" w:ascii="仿宋_GB2312" w:hAnsi="仿宋_GB2312" w:eastAsia="仿宋_GB2312" w:cs="仿宋_GB2312"/>
                <w:color w:val="FF0000"/>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sz w:val="20"/>
                <w:szCs w:val="20"/>
                <w:highlight w:val="none"/>
                <w:lang w:val="en-US" w:eastAsia="zh-CN"/>
              </w:rPr>
              <w:t>0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FF0000"/>
                <w:sz w:val="20"/>
                <w:szCs w:val="20"/>
                <w:highlight w:val="none"/>
                <w:lang w:val="en-US"/>
              </w:rPr>
            </w:pPr>
            <w:r>
              <w:rPr>
                <w:rFonts w:hint="eastAsia" w:ascii="宋体" w:hAnsi="宋体" w:cs="宋体"/>
                <w:i w:val="0"/>
                <w:iCs w:val="0"/>
                <w:color w:val="000000"/>
                <w:kern w:val="0"/>
                <w:sz w:val="22"/>
                <w:szCs w:val="22"/>
                <w:u w:val="none"/>
                <w:lang w:val="en-US" w:eastAsia="zh-CN" w:bidi="ar"/>
              </w:rPr>
              <w:t>17.37</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FF0000"/>
                <w:sz w:val="20"/>
                <w:szCs w:val="20"/>
                <w:highlight w:val="none"/>
                <w:lang w:val="en-US"/>
              </w:rPr>
            </w:pPr>
            <w:r>
              <w:rPr>
                <w:rFonts w:hint="eastAsia" w:ascii="宋体" w:hAnsi="宋体" w:cs="宋体"/>
                <w:i w:val="0"/>
                <w:iCs w:val="0"/>
                <w:color w:val="000000"/>
                <w:kern w:val="0"/>
                <w:sz w:val="22"/>
                <w:szCs w:val="22"/>
                <w:u w:val="none"/>
                <w:lang w:val="en-US" w:eastAsia="zh-CN" w:bidi="ar"/>
              </w:rPr>
              <w:t>17.37</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FF0000"/>
                <w:sz w:val="20"/>
                <w:szCs w:val="20"/>
                <w:highlight w:val="none"/>
                <w:lang w:val="en-US"/>
              </w:rPr>
            </w:pPr>
            <w:r>
              <w:rPr>
                <w:rFonts w:hint="eastAsia" w:ascii="宋体" w:hAnsi="宋体" w:cs="宋体"/>
                <w:i w:val="0"/>
                <w:iCs w:val="0"/>
                <w:color w:val="000000"/>
                <w:kern w:val="0"/>
                <w:sz w:val="22"/>
                <w:szCs w:val="22"/>
                <w:u w:val="none"/>
                <w:lang w:val="en-US" w:eastAsia="zh-CN" w:bidi="ar"/>
              </w:rPr>
              <w:t>0.27</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宋体" w:hAnsi="宋体" w:cs="宋体"/>
                <w:i w:val="0"/>
                <w:iCs w:val="0"/>
                <w:color w:val="000000"/>
                <w:kern w:val="0"/>
                <w:sz w:val="22"/>
                <w:szCs w:val="22"/>
                <w:u w:val="none"/>
                <w:lang w:val="en-US" w:eastAsia="zh-CN" w:bidi="ar"/>
              </w:rPr>
              <w:t>0.27</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31.55</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31.55</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206.46</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206.46</w:t>
            </w:r>
          </w:p>
        </w:tc>
      </w:tr>
      <w:tr>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rPr>
              <w:t>楼堂馆所控制情况</w:t>
            </w:r>
          </w:p>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lang w:eastAsia="zh-CN"/>
              </w:rPr>
            </w:pPr>
            <w:r>
              <w:rPr>
                <w:rFonts w:hint="eastAsia" w:ascii="仿宋_GB2312" w:hAnsi="仿宋_GB2312" w:eastAsia="仿宋_GB2312" w:cs="仿宋_GB2312"/>
                <w:bCs/>
                <w:sz w:val="20"/>
                <w:szCs w:val="20"/>
                <w:highlight w:val="none"/>
              </w:rPr>
              <w:t>批复规模</w:t>
            </w:r>
          </w:p>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tblPrEx>
          <w:tblCellMar>
            <w:top w:w="0" w:type="dxa"/>
            <w:left w:w="108" w:type="dxa"/>
            <w:bottom w:w="0" w:type="dxa"/>
            <w:right w:w="108" w:type="dxa"/>
          </w:tblCellMar>
        </w:tblPrEx>
        <w:trPr>
          <w:trHeight w:val="18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84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960"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lang w:val="en-US" w:eastAsia="zh-CN"/>
              </w:rPr>
              <w:t>深入贯彻落实中央八项规定及其实施细则特神，严格控制“三公”经费开支，严禁超范围、超标准开支，践行精细化管理理念，加强绩效化管理，推进绩效评价结果与预算挂钩，严防资金低效使用，确保财力有效转化为保障力。</w:t>
            </w:r>
            <w:r>
              <w:rPr>
                <w:rFonts w:hint="eastAsia" w:ascii="仿宋_GB2312" w:hAnsi="仿宋_GB2312" w:eastAsia="仿宋_GB2312" w:cs="仿宋_GB2312"/>
                <w:sz w:val="20"/>
                <w:szCs w:val="20"/>
                <w:highlight w:val="none"/>
              </w:rPr>
              <w:t>　</w:t>
            </w:r>
          </w:p>
        </w:tc>
      </w:tr>
    </w:tbl>
    <w:p>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pPr>
        <w:widowControl/>
        <w:spacing w:after="0" w:afterLines="0" w:line="400" w:lineRule="exact"/>
        <w:ind w:left="220" w:hanging="220" w:hangingChars="100"/>
        <w:jc w:val="left"/>
        <w:rPr>
          <w:rFonts w:hint="eastAsia" w:ascii="Times New Roman" w:hAnsi="Times New Roman" w:eastAsia="仿宋_GB2312" w:cs="Times New Roman"/>
          <w:sz w:val="22"/>
          <w:highlight w:val="none"/>
          <w:lang w:val="en-US"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w:t>
      </w:r>
      <w:r>
        <w:rPr>
          <w:rFonts w:hint="eastAsia" w:ascii="Times New Roman" w:hAnsi="Times New Roman" w:eastAsia="仿宋_GB2312" w:cs="Times New Roman"/>
          <w:sz w:val="22"/>
          <w:highlight w:val="none"/>
          <w:lang w:val="en-US" w:eastAsia="zh-CN"/>
        </w:rPr>
        <w:t>吴朝霞</w:t>
      </w:r>
      <w:r>
        <w:rPr>
          <w:rFonts w:hint="default" w:ascii="Times New Roman" w:hAnsi="Times New Roman" w:eastAsia="仿宋_GB2312" w:cs="Times New Roman"/>
          <w:sz w:val="22"/>
          <w:highlight w:val="none"/>
        </w:rPr>
        <w:t>填报日期：</w:t>
      </w:r>
      <w:r>
        <w:rPr>
          <w:rFonts w:hint="eastAsia" w:ascii="Times New Roman" w:hAnsi="Times New Roman" w:eastAsia="仿宋_GB2312" w:cs="Times New Roman"/>
          <w:sz w:val="22"/>
          <w:highlight w:val="none"/>
          <w:lang w:val="en-US" w:eastAsia="zh-CN"/>
        </w:rPr>
        <w:t>2024.6.19</w:t>
      </w:r>
      <w:r>
        <w:rPr>
          <w:rFonts w:hint="default" w:ascii="Times New Roman" w:hAnsi="Times New Roman" w:eastAsia="仿宋_GB2312" w:cs="Times New Roman"/>
          <w:sz w:val="22"/>
          <w:highlight w:val="none"/>
        </w:rPr>
        <w:t xml:space="preserve"> 联系电话：</w:t>
      </w:r>
      <w:r>
        <w:rPr>
          <w:rFonts w:hint="eastAsia" w:ascii="Times New Roman" w:hAnsi="Times New Roman" w:eastAsia="仿宋_GB2312" w:cs="Times New Roman"/>
          <w:sz w:val="22"/>
          <w:highlight w:val="none"/>
          <w:lang w:val="en-US" w:eastAsia="zh-CN"/>
        </w:rPr>
        <w:t>13873063680</w:t>
      </w:r>
      <w:r>
        <w:rPr>
          <w:rFonts w:hint="default" w:ascii="Times New Roman" w:hAnsi="Times New Roman" w:eastAsia="仿宋_GB2312" w:cs="Times New Roman"/>
          <w:sz w:val="22"/>
          <w:highlight w:val="none"/>
        </w:rPr>
        <w:t>单位负责人签字：</w:t>
      </w:r>
      <w:r>
        <w:rPr>
          <w:rFonts w:hint="eastAsia" w:ascii="Times New Roman" w:hAnsi="Times New Roman" w:eastAsia="仿宋_GB2312" w:cs="Times New Roman"/>
          <w:sz w:val="22"/>
          <w:highlight w:val="none"/>
          <w:lang w:val="en-US" w:eastAsia="zh-CN"/>
        </w:rPr>
        <w:t>李升兵</w:t>
      </w:r>
    </w:p>
    <w:p>
      <w:pPr>
        <w:widowControl/>
        <w:spacing w:after="0" w:afterLines="0" w:line="400" w:lineRule="exact"/>
        <w:ind w:left="220" w:hanging="220" w:hangingChars="100"/>
        <w:jc w:val="left"/>
        <w:rPr>
          <w:rFonts w:hint="eastAsia" w:ascii="Times New Roman" w:hAnsi="Times New Roman" w:eastAsia="仿宋_GB2312" w:cs="Times New Roman"/>
          <w:sz w:val="22"/>
          <w:highlight w:val="none"/>
          <w:lang w:val="en-US" w:eastAsia="zh-CN"/>
        </w:rPr>
      </w:pPr>
    </w:p>
    <w:p>
      <w:pPr>
        <w:widowControl/>
        <w:spacing w:after="0" w:afterLines="0" w:line="400" w:lineRule="exact"/>
        <w:ind w:left="220" w:hanging="320" w:hangingChars="100"/>
        <w:jc w:val="left"/>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6"/>
        <w:tblW w:w="10079" w:type="dxa"/>
        <w:jc w:val="center"/>
        <w:tblLayout w:type="autofit"/>
        <w:tblCellMar>
          <w:top w:w="0" w:type="dxa"/>
          <w:left w:w="108" w:type="dxa"/>
          <w:bottom w:w="0" w:type="dxa"/>
          <w:right w:w="108" w:type="dxa"/>
        </w:tblCellMar>
      </w:tblPr>
      <w:tblGrid>
        <w:gridCol w:w="1080"/>
        <w:gridCol w:w="1080"/>
        <w:gridCol w:w="1034"/>
        <w:gridCol w:w="1270"/>
        <w:gridCol w:w="1311"/>
        <w:gridCol w:w="1269"/>
        <w:gridCol w:w="716"/>
        <w:gridCol w:w="873"/>
        <w:gridCol w:w="1446"/>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sz w:val="20"/>
                <w:szCs w:val="20"/>
                <w:highlight w:val="none"/>
                <w:lang w:eastAsia="zh-CN"/>
              </w:rPr>
              <w:t>中国国际贸易促进委员会岳阳市君山区委员会</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算申请</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p>
        </w:tc>
        <w:tc>
          <w:tcPr>
            <w:tcW w:w="1270"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311"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269"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270"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166.23</w:t>
            </w:r>
          </w:p>
        </w:tc>
        <w:tc>
          <w:tcPr>
            <w:tcW w:w="1311"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206.46</w:t>
            </w:r>
          </w:p>
        </w:tc>
        <w:tc>
          <w:tcPr>
            <w:tcW w:w="1269"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206.46</w:t>
            </w:r>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100</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sz w:val="20"/>
                <w:szCs w:val="20"/>
                <w:highlight w:val="none"/>
                <w:lang w:val="en-US" w:eastAsia="zh-CN"/>
              </w:rPr>
              <w:t>206.41</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sz w:val="20"/>
                <w:szCs w:val="20"/>
                <w:highlight w:val="none"/>
                <w:lang w:val="en-US" w:eastAsia="zh-CN"/>
              </w:rPr>
              <w:t>206.46</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ind w:firstLine="800" w:firstLineChars="400"/>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政府性基金拨款：</w:t>
            </w:r>
            <w:r>
              <w:rPr>
                <w:rFonts w:hint="eastAsia" w:ascii="仿宋_GB2312" w:hAnsi="仿宋_GB2312" w:eastAsia="仿宋_GB2312" w:cs="仿宋_GB2312"/>
                <w:color w:val="000000"/>
                <w:sz w:val="20"/>
                <w:szCs w:val="20"/>
                <w:highlight w:val="none"/>
                <w:lang w:val="en-US" w:eastAsia="zh-CN"/>
              </w:rPr>
              <w:t>0</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ind w:firstLine="600" w:firstLineChars="3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val="en-US" w:eastAsia="zh-CN"/>
              </w:rPr>
              <w:t>0</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纳入专户管理的非税收入拨款：</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ind w:firstLine="1400" w:firstLineChars="7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其他资金：</w:t>
            </w:r>
            <w:r>
              <w:rPr>
                <w:rFonts w:hint="eastAsia" w:ascii="仿宋_GB2312" w:hAnsi="仿宋_GB2312" w:eastAsia="仿宋_GB2312" w:cs="仿宋_GB2312"/>
                <w:color w:val="000000"/>
                <w:sz w:val="20"/>
                <w:szCs w:val="20"/>
                <w:highlight w:val="none"/>
                <w:lang w:val="en-US" w:eastAsia="zh-CN"/>
              </w:rPr>
              <w:t>0.05</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1.招商引资整体情况稳中有进</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2.高位推动，在思想认识上提升高度</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3.强化责任，在组织推进上体现强度</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4.强化宣传，在谋划推介上突出深度</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5.规范管理，加强干部队伍清廉建设</w:t>
            </w:r>
          </w:p>
        </w:tc>
        <w:tc>
          <w:tcPr>
            <w:tcW w:w="4304" w:type="dxa"/>
            <w:gridSpan w:val="4"/>
            <w:tcBorders>
              <w:top w:val="single" w:color="auto" w:sz="4" w:space="0"/>
              <w:left w:val="nil"/>
              <w:bottom w:val="single" w:color="auto" w:sz="4" w:space="0"/>
              <w:right w:val="single" w:color="auto" w:sz="4" w:space="0"/>
            </w:tcBorders>
            <w:noWrap w:val="0"/>
            <w:vAlign w:val="top"/>
          </w:tcPr>
          <w:p>
            <w:pPr>
              <w:pStyle w:val="5"/>
              <w:widowControl/>
              <w:spacing w:line="27" w:lineRule="atLeast"/>
              <w:ind w:firstLine="480" w:firstLineChars="240"/>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bidi="ar-SA"/>
              </w:rPr>
              <w:t>全年共组织企业参加国际化经营合规风险排查、中国贸促会RCEP政策解读与利用暨商事法律实务的培训、中国贸促会自贸协定政策解读与利用专题培训等各类市场开拓业务培训5次，提升了企业管理水平和防范风险的能力，增强了企业参与国际合作与竞争的本领，能够更好的开拓外贸市场。</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69"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全年引进各类项目</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≥10次</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10次</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投资过亿项目</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≥5个</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5个</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开展招商洽谈活动</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lang w:val="en-US" w:eastAsia="zh-CN"/>
              </w:rPr>
              <w:t>　</w:t>
            </w:r>
            <w:r>
              <w:rPr>
                <w:rFonts w:hint="eastAsia" w:ascii="仿宋_GB2312" w:hAnsi="仿宋_GB2312" w:eastAsia="仿宋_GB2312" w:cs="仿宋_GB2312"/>
                <w:color w:val="000000"/>
                <w:sz w:val="20"/>
                <w:szCs w:val="20"/>
                <w:highlight w:val="none"/>
                <w:lang w:val="en-US" w:eastAsia="zh-CN"/>
              </w:rPr>
              <w:t>≥30次</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30次</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分解招商引资任务指标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　＝</w:t>
            </w:r>
            <w:r>
              <w:rPr>
                <w:rFonts w:hint="eastAsia" w:ascii="仿宋_GB2312" w:hAnsi="仿宋_GB2312" w:eastAsia="仿宋_GB2312" w:cs="仿宋_GB2312"/>
                <w:color w:val="000000"/>
                <w:sz w:val="20"/>
                <w:szCs w:val="20"/>
                <w:lang w:val="en-US" w:eastAsia="zh-CN"/>
              </w:rPr>
              <w:t>100%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＝100%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拓展宣传推介渠道</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　＝</w:t>
            </w:r>
            <w:r>
              <w:rPr>
                <w:rFonts w:hint="eastAsia" w:ascii="仿宋_GB2312" w:hAnsi="仿宋_GB2312" w:eastAsia="仿宋_GB2312" w:cs="仿宋_GB2312"/>
                <w:color w:val="000000"/>
                <w:sz w:val="20"/>
                <w:szCs w:val="20"/>
                <w:lang w:val="en-US" w:eastAsia="zh-CN"/>
              </w:rPr>
              <w:t>100%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lang w:val="en-US" w:eastAsia="zh-CN"/>
              </w:rPr>
              <w:t>＝100%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加强廉政教育率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　＝</w:t>
            </w:r>
            <w:r>
              <w:rPr>
                <w:rFonts w:hint="eastAsia" w:ascii="仿宋_GB2312" w:hAnsi="仿宋_GB2312" w:eastAsia="仿宋_GB2312" w:cs="仿宋_GB2312"/>
                <w:color w:val="000000"/>
                <w:sz w:val="20"/>
                <w:szCs w:val="20"/>
                <w:lang w:val="en-US" w:eastAsia="zh-CN"/>
              </w:rPr>
              <w:t>100%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＝100%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年度各项任务完成期限</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2023年12月31日前</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2023年12月20日前</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预算控制率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w:t>
            </w:r>
            <w:r>
              <w:rPr>
                <w:rFonts w:hint="eastAsia" w:ascii="仿宋_GB2312" w:hAnsi="仿宋_GB2312" w:eastAsia="仿宋_GB2312" w:cs="仿宋_GB2312"/>
                <w:color w:val="000000"/>
                <w:sz w:val="20"/>
                <w:szCs w:val="20"/>
                <w:highlight w:val="none"/>
                <w:lang w:val="en-US" w:eastAsia="zh-CN"/>
              </w:rPr>
              <w:t>100%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宋体" w:hAnsi="宋体" w:eastAsia="宋体" w:cs="宋体"/>
                <w:color w:val="000000"/>
                <w:sz w:val="20"/>
                <w:szCs w:val="20"/>
                <w:highlight w:val="none"/>
                <w:lang w:val="en-US" w:eastAsia="zh-CN"/>
              </w:rPr>
              <w:t>≦</w:t>
            </w:r>
            <w:r>
              <w:rPr>
                <w:rFonts w:hint="eastAsia" w:ascii="仿宋_GB2312" w:hAnsi="仿宋_GB2312" w:eastAsia="仿宋_GB2312" w:cs="仿宋_GB2312"/>
                <w:color w:val="000000"/>
                <w:sz w:val="20"/>
                <w:szCs w:val="20"/>
                <w:highlight w:val="none"/>
                <w:lang w:val="en-US" w:eastAsia="zh-CN"/>
              </w:rPr>
              <w:t>100%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widowControl/>
              <w:spacing w:line="240" w:lineRule="exact"/>
              <w:jc w:val="left"/>
              <w:rPr>
                <w:rFonts w:hint="eastAsia" w:ascii="仿宋_GB2312" w:hAnsi="仿宋_GB2312" w:eastAsia="仿宋_GB2312" w:cs="仿宋_GB2312"/>
                <w:color w:val="000000"/>
                <w:sz w:val="20"/>
                <w:szCs w:val="20"/>
                <w:highlight w:val="none"/>
              </w:rPr>
            </w:pP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34"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招商引资</w:t>
            </w:r>
          </w:p>
        </w:tc>
        <w:tc>
          <w:tcPr>
            <w:tcW w:w="1311" w:type="dxa"/>
            <w:tcBorders>
              <w:top w:val="nil"/>
              <w:left w:val="nil"/>
              <w:bottom w:val="single" w:color="auto" w:sz="4" w:space="0"/>
              <w:right w:val="single" w:color="auto" w:sz="4" w:space="0"/>
            </w:tcBorders>
            <w:noWrap w:val="0"/>
            <w:vAlign w:val="center"/>
          </w:tcPr>
          <w:p>
            <w:pPr>
              <w:keepNext w:val="0"/>
              <w:keepLines w:val="0"/>
              <w:widowControl/>
              <w:suppressLineNumbers w:val="0"/>
              <w:ind w:firstLine="400" w:firstLineChars="200"/>
              <w:jc w:val="left"/>
              <w:textAlignment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定性</w:t>
            </w:r>
          </w:p>
        </w:tc>
        <w:tc>
          <w:tcPr>
            <w:tcW w:w="126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有效推进</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13</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推进“湘商回归”</w:t>
            </w:r>
          </w:p>
        </w:tc>
        <w:tc>
          <w:tcPr>
            <w:tcW w:w="1311" w:type="dxa"/>
            <w:tcBorders>
              <w:top w:val="nil"/>
              <w:left w:val="nil"/>
              <w:bottom w:val="single" w:color="auto" w:sz="4" w:space="0"/>
              <w:right w:val="single" w:color="auto" w:sz="4" w:space="0"/>
            </w:tcBorders>
            <w:noWrap w:val="0"/>
            <w:vAlign w:val="center"/>
          </w:tcPr>
          <w:p>
            <w:pPr>
              <w:keepNext w:val="0"/>
              <w:keepLines w:val="0"/>
              <w:widowControl/>
              <w:suppressLineNumbers w:val="0"/>
              <w:ind w:firstLine="400" w:firstLineChars="200"/>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定性</w:t>
            </w:r>
          </w:p>
        </w:tc>
        <w:tc>
          <w:tcPr>
            <w:tcW w:w="126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有效推进</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lang w:val="en-US" w:eastAsia="zh-CN"/>
              </w:rPr>
              <w:t>无生态效益</w:t>
            </w:r>
          </w:p>
        </w:tc>
        <w:tc>
          <w:tcPr>
            <w:tcW w:w="131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无生态效益</w:t>
            </w:r>
          </w:p>
        </w:tc>
        <w:tc>
          <w:tcPr>
            <w:tcW w:w="126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无生态效益</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无可持续影响</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无可持续影响</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无可持续影响</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34"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招商对象满意度</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highlight w:val="none"/>
                <w:lang w:val="en-US" w:eastAsia="zh-CN"/>
              </w:rPr>
              <w:t>90%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highlight w:val="none"/>
                <w:lang w:val="en-US" w:eastAsia="zh-CN"/>
              </w:rPr>
              <w:t>90%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widowControl/>
        <w:spacing w:after="0" w:afterLines="0" w:line="400" w:lineRule="exact"/>
        <w:ind w:left="220" w:hanging="220" w:hangingChars="100"/>
        <w:jc w:val="left"/>
        <w:rPr>
          <w:rFonts w:hint="eastAsia" w:ascii="Times New Roman" w:hAnsi="Times New Roman" w:eastAsia="仿宋_GB2312" w:cs="Times New Roman"/>
          <w:sz w:val="22"/>
          <w:highlight w:val="none"/>
          <w:lang w:val="en-US"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填报日期：</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 xml:space="preserve"> 联系电话：</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单位负责人签字：</w:t>
      </w: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Times New Roman" w:hAnsi="Times New Roman" w:eastAsia="黑体" w:cs="Times New Roman"/>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6"/>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贸促专项</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sz w:val="20"/>
                <w:szCs w:val="20"/>
                <w:highlight w:val="none"/>
                <w:lang w:eastAsia="zh-CN"/>
              </w:rPr>
              <w:t>中国国际贸易促进委员会岳阳市君山区委员会</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sz w:val="20"/>
                <w:szCs w:val="20"/>
                <w:highlight w:val="none"/>
                <w:lang w:eastAsia="zh-CN"/>
              </w:rPr>
              <w:t>中国国际贸易促进委员会岳阳市君山区委员会</w:t>
            </w:r>
          </w:p>
        </w:tc>
      </w:tr>
      <w:tr>
        <w:tblPrEx>
          <w:tblCellMar>
            <w:top w:w="0" w:type="dxa"/>
            <w:left w:w="108" w:type="dxa"/>
            <w:bottom w:w="0" w:type="dxa"/>
            <w:right w:w="108" w:type="dxa"/>
          </w:tblCellMar>
        </w:tblPrEx>
        <w:trPr>
          <w:trHeight w:val="505"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项目资金</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75</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75</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75</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75</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75</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75</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numPr>
                <w:ilvl w:val="0"/>
                <w:numId w:val="7"/>
              </w:numPr>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招商引资整体情况稳中有进</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kern w:val="0"/>
                <w:sz w:val="20"/>
                <w:szCs w:val="20"/>
                <w:highlight w:val="none"/>
                <w:lang w:val="en-US" w:eastAsia="zh-CN" w:bidi="ar-SA"/>
              </w:rPr>
              <w:t>全年共组织企业参加国际化经营合规风险排查、中国贸促会RCEP政策解读与利用暨商事法律实务的培训、中国贸促会自贸协定政策解读与利用专题培训等各类市场开拓业务培训5次，提升了企业管理水平和防范风险的能力，增强了企业参与国际合作与竞争的本领，能够更好的开拓外贸市场。</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招商宣传</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≥10次</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≥10次</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国际商会会员</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≥5万元</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≥5万元</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5"/>
                <w:szCs w:val="15"/>
                <w:highlight w:val="none"/>
                <w:lang w:val="en-US"/>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展会和经贸交流活动</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≥10次</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≥10次</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企业参展</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2次</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2次</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8</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年度各项任务完成期限</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2023年12月31日前</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2023年12月20日前</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预算控制率</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宋体" w:hAnsi="宋体" w:eastAsia="宋体" w:cs="宋体"/>
                <w:color w:val="000000"/>
                <w:sz w:val="20"/>
                <w:szCs w:val="20"/>
                <w:highlight w:val="none"/>
                <w:lang w:val="en-US" w:eastAsia="zh-CN"/>
              </w:rPr>
              <w:t>≦</w:t>
            </w:r>
            <w:r>
              <w:rPr>
                <w:rFonts w:hint="eastAsia" w:ascii="仿宋_GB2312" w:hAnsi="仿宋_GB2312" w:eastAsia="仿宋_GB2312" w:cs="仿宋_GB2312"/>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宋体" w:hAnsi="宋体" w:eastAsia="宋体" w:cs="宋体"/>
                <w:color w:val="000000"/>
                <w:sz w:val="20"/>
                <w:szCs w:val="20"/>
                <w:highlight w:val="none"/>
                <w:lang w:val="en-US" w:eastAsia="zh-CN"/>
              </w:rPr>
              <w:t>≦</w:t>
            </w: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招商引资带动经济</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eastAsia="zh-CN"/>
              </w:rPr>
              <w:t>稳步提升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稳步提升</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建设</w:t>
            </w:r>
            <w:r>
              <w:rPr>
                <w:rFonts w:hint="eastAsia" w:ascii="仿宋_GB2312" w:hAnsi="仿宋_GB2312" w:eastAsia="仿宋_GB2312" w:cs="仿宋_GB2312"/>
                <w:color w:val="000000"/>
                <w:sz w:val="20"/>
                <w:szCs w:val="20"/>
                <w:highlight w:val="none"/>
              </w:rPr>
              <w:t>寓外乡友平台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定性</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促进</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lang w:val="en-US" w:eastAsia="zh-CN"/>
              </w:rPr>
              <w:t>减少碳排放</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lang w:val="en-US" w:eastAsia="zh-CN"/>
              </w:rPr>
              <w:t>有效减少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lang w:val="en-US" w:eastAsia="zh-CN"/>
              </w:rPr>
              <w:t>有效减少</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无可持续影响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无可持续影响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无可持续影响</w:t>
            </w: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企业</w:t>
            </w:r>
            <w:r>
              <w:rPr>
                <w:rFonts w:hint="eastAsia" w:ascii="仿宋_GB2312" w:hAnsi="仿宋_GB2312" w:eastAsia="仿宋_GB2312" w:cs="仿宋_GB2312"/>
                <w:color w:val="000000"/>
                <w:sz w:val="20"/>
                <w:szCs w:val="20"/>
                <w:highlight w:val="none"/>
                <w:lang w:eastAsia="zh-CN"/>
              </w:rPr>
              <w:t>满意度</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highlight w:val="none"/>
                <w:lang w:val="en-US" w:eastAsia="zh-CN"/>
              </w:rPr>
              <w:t>90%</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highlight w:val="none"/>
                <w:lang w:val="en-US" w:eastAsia="zh-CN"/>
              </w:rPr>
              <w:t>90%</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96</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rPr>
      </w:pPr>
    </w:p>
    <w:p>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pPr>
        <w:widowControl/>
        <w:spacing w:line="600" w:lineRule="exact"/>
        <w:jc w:val="left"/>
        <w:rPr>
          <w:rFonts w:hint="eastAsia" w:ascii="黑体" w:hAnsi="黑体" w:eastAsia="黑体" w:cs="黑体"/>
          <w:sz w:val="32"/>
          <w:szCs w:val="32"/>
          <w:highlight w:val="none"/>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r>
        <w:rPr>
          <w:rFonts w:hint="default" w:ascii="Times New Roman" w:hAnsi="Times New Roman" w:eastAsia="仿宋_GB2312" w:cs="Times New Roman"/>
          <w:sz w:val="22"/>
          <w:szCs w:val="22"/>
          <w:highlight w:val="none"/>
        </w:rPr>
        <w:br w:type="page"/>
      </w: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rPr>
          <w:rFonts w:hint="eastAsia" w:ascii="黑体" w:hAnsi="黑体" w:eastAsia="黑体" w:cs="黑体"/>
          <w:sz w:val="32"/>
          <w:szCs w:val="32"/>
          <w:highlight w:val="none"/>
        </w:rPr>
      </w:pPr>
    </w:p>
    <w:p>
      <w:pPr>
        <w:rPr>
          <w:rFonts w:hint="eastAsia" w:ascii="黑体" w:hAnsi="黑体" w:eastAsia="黑体" w:cs="黑体"/>
          <w:sz w:val="32"/>
          <w:szCs w:val="32"/>
          <w:highlight w:val="none"/>
        </w:rPr>
      </w:pPr>
    </w:p>
    <w:p>
      <w:pPr>
        <w:rPr>
          <w:rFonts w:hint="eastAsia" w:ascii="黑体" w:hAnsi="黑体" w:eastAsia="黑体" w:cs="黑体"/>
          <w:sz w:val="32"/>
          <w:szCs w:val="32"/>
          <w:highlight w:val="none"/>
        </w:rPr>
      </w:pPr>
    </w:p>
    <w:p>
      <w:pPr>
        <w:rPr>
          <w:rFonts w:hint="eastAsia" w:ascii="黑体" w:hAnsi="黑体" w:eastAsia="黑体" w:cs="黑体"/>
          <w:sz w:val="32"/>
          <w:szCs w:val="32"/>
          <w:highlight w:val="none"/>
        </w:rPr>
      </w:pPr>
    </w:p>
    <w:p>
      <w:pPr>
        <w:jc w:val="center"/>
        <w:rPr>
          <w:rFonts w:hint="default" w:ascii="Times New Roman" w:hAnsi="Times New Roman" w:eastAsia="方正小标宋_GBK" w:cs="Times New Roman"/>
          <w:sz w:val="52"/>
          <w:szCs w:val="52"/>
          <w:highlight w:val="none"/>
        </w:rPr>
      </w:pPr>
    </w:p>
    <w:p>
      <w:pPr>
        <w:pStyle w:val="2"/>
        <w:rPr>
          <w:rFonts w:hint="default"/>
        </w:rPr>
      </w:pPr>
    </w:p>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5</w:t>
      </w:r>
    </w:p>
    <w:p>
      <w:pPr>
        <w:spacing w:before="120" w:beforeLines="50" w:after="120" w:afterLines="50"/>
        <w:jc w:val="center"/>
        <w:rPr>
          <w:rFonts w:hint="eastAsia" w:ascii="方正小标宋简体" w:hAnsi="方正小标宋简体" w:eastAsia="方正小标宋简体" w:cs="方正小标宋简体"/>
          <w:spacing w:val="-6"/>
          <w:sz w:val="36"/>
          <w:szCs w:val="36"/>
          <w:highlight w:val="none"/>
        </w:rPr>
      </w:pPr>
      <w:r>
        <w:rPr>
          <w:rFonts w:hint="eastAsia" w:ascii="方正小标宋简体" w:hAnsi="方正小标宋简体" w:eastAsia="方正小标宋简体" w:cs="方正小标宋简体"/>
          <w:sz w:val="36"/>
          <w:szCs w:val="36"/>
          <w:highlight w:val="none"/>
        </w:rPr>
        <w:t>部门整体支出</w:t>
      </w:r>
      <w:r>
        <w:rPr>
          <w:rFonts w:hint="eastAsia" w:ascii="方正小标宋简体" w:hAnsi="方正小标宋简体" w:eastAsia="方正小标宋简体" w:cs="方正小标宋简体"/>
          <w:spacing w:val="-6"/>
          <w:sz w:val="36"/>
          <w:szCs w:val="36"/>
          <w:highlight w:val="none"/>
        </w:rPr>
        <w:t>绩效自评工作考核评分表</w:t>
      </w:r>
    </w:p>
    <w:tbl>
      <w:tblPr>
        <w:tblStyle w:val="6"/>
        <w:tblW w:w="9941" w:type="dxa"/>
        <w:jc w:val="center"/>
        <w:tblLayout w:type="fixed"/>
        <w:tblCellMar>
          <w:top w:w="0" w:type="dxa"/>
          <w:left w:w="108" w:type="dxa"/>
          <w:bottom w:w="0" w:type="dxa"/>
          <w:right w:w="108" w:type="dxa"/>
        </w:tblCellMar>
      </w:tblPr>
      <w:tblGrid>
        <w:gridCol w:w="745"/>
        <w:gridCol w:w="1174"/>
        <w:gridCol w:w="5000"/>
        <w:gridCol w:w="3022"/>
      </w:tblGrid>
      <w:tr>
        <w:tblPrEx>
          <w:tblCellMar>
            <w:top w:w="0" w:type="dxa"/>
            <w:left w:w="108" w:type="dxa"/>
            <w:bottom w:w="0" w:type="dxa"/>
            <w:right w:w="108" w:type="dxa"/>
          </w:tblCellMar>
        </w:tblPrEx>
        <w:trPr>
          <w:tblHeader/>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一级指标</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二级指标</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评分标准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所需佐证材料</w:t>
            </w:r>
          </w:p>
        </w:tc>
      </w:tr>
      <w:tr>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布置工作</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1174" w:type="dxa"/>
            <w:tcBorders>
              <w:top w:val="single" w:color="auto" w:sz="4" w:space="0"/>
              <w:left w:val="nil"/>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自评通知</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（8分）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印发绩效自评通知的得2分，否则不得分。</w:t>
            </w:r>
          </w:p>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按照本规程规定，绩效自评通知包括自评范围、自评主要依据、自评主要内容、自评程序和步骤、有关要求等内容，并附有本通知要求的附件的，得6分；否则缺1项扣1分，最多扣6分。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绩效自评通知盖章的电子版</w:t>
            </w:r>
          </w:p>
        </w:tc>
      </w:tr>
      <w:tr>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工作小组</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成立绩效自评工作小组的得2分，否则不得分。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本部门、本单位预算绩效管理领导小组</w:t>
            </w:r>
            <w:r>
              <w:rPr>
                <w:rFonts w:hint="default" w:ascii="Times New Roman" w:hAnsi="Times New Roman" w:eastAsia="仿宋_GB2312" w:cs="Times New Roman"/>
                <w:spacing w:val="0"/>
                <w:sz w:val="20"/>
                <w:szCs w:val="20"/>
                <w:highlight w:val="none"/>
                <w:lang w:val="en-US" w:eastAsia="zh-CN"/>
              </w:rPr>
              <w:t>/</w:t>
            </w:r>
            <w:r>
              <w:rPr>
                <w:rFonts w:hint="default" w:ascii="Times New Roman" w:hAnsi="Times New Roman" w:eastAsia="仿宋_GB2312" w:cs="Times New Roman"/>
                <w:sz w:val="20"/>
                <w:szCs w:val="20"/>
                <w:highlight w:val="none"/>
              </w:rPr>
              <w:t>绩效评价工作小组</w:t>
            </w:r>
            <w:r>
              <w:rPr>
                <w:rFonts w:hint="default" w:ascii="Times New Roman" w:hAnsi="Times New Roman" w:eastAsia="仿宋_GB2312" w:cs="Times New Roman"/>
                <w:sz w:val="20"/>
                <w:szCs w:val="20"/>
                <w:highlight w:val="none"/>
                <w:lang w:eastAsia="zh-CN"/>
              </w:rPr>
              <w:t>有关</w:t>
            </w:r>
            <w:r>
              <w:rPr>
                <w:rFonts w:hint="default" w:ascii="Times New Roman" w:hAnsi="Times New Roman" w:eastAsia="仿宋_GB2312" w:cs="Times New Roman"/>
                <w:spacing w:val="0"/>
                <w:sz w:val="20"/>
                <w:szCs w:val="20"/>
                <w:highlight w:val="none"/>
              </w:rPr>
              <w:t>文件</w:t>
            </w:r>
            <w:r>
              <w:rPr>
                <w:rFonts w:hint="default" w:ascii="Times New Roman" w:hAnsi="Times New Roman" w:eastAsia="仿宋_GB2312" w:cs="Times New Roman"/>
                <w:sz w:val="20"/>
                <w:szCs w:val="20"/>
                <w:highlight w:val="none"/>
              </w:rPr>
              <w:t>盖章的电子版</w:t>
            </w:r>
          </w:p>
        </w:tc>
      </w:tr>
      <w:tr>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实施评价</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单位自查</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eastAsia="zh-CN"/>
              </w:rPr>
              <w:t>市级</w:t>
            </w:r>
            <w:r>
              <w:rPr>
                <w:rFonts w:hint="default" w:ascii="Times New Roman" w:hAnsi="Times New Roman" w:eastAsia="仿宋_GB2312" w:cs="Times New Roman"/>
                <w:sz w:val="20"/>
                <w:szCs w:val="20"/>
                <w:highlight w:val="none"/>
              </w:rPr>
              <w:t>预算部门本级和所属单位都要开展绩效自查，转移支付项目单位都要开展绩效自查，</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级主管部门都要汇总本区域转移支付情况；以上各项每发现一个单位没有做相应工作的，扣1分，最多扣10分。</w:t>
            </w:r>
          </w:p>
        </w:tc>
        <w:tc>
          <w:tcPr>
            <w:tcW w:w="3022" w:type="dxa"/>
            <w:tcBorders>
              <w:top w:val="single" w:color="auto" w:sz="4" w:space="0"/>
              <w:left w:val="nil"/>
              <w:bottom w:val="single" w:color="auto" w:sz="4" w:space="0"/>
              <w:right w:val="single" w:color="auto" w:sz="4" w:space="0"/>
            </w:tcBorders>
            <w:noWrap w:val="0"/>
            <w:vAlign w:val="center"/>
          </w:tcPr>
          <w:p>
            <w:pPr>
              <w:numPr>
                <w:ilvl w:val="0"/>
                <w:numId w:val="8"/>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转移支付项目单位名称和资</w:t>
            </w:r>
            <w:r>
              <w:rPr>
                <w:rFonts w:hint="eastAsia" w:ascii="Times New Roman" w:hAnsi="Times New Roman" w:eastAsia="仿宋_GB2312" w:cs="Times New Roman"/>
                <w:sz w:val="20"/>
                <w:szCs w:val="20"/>
                <w:highlight w:val="none"/>
                <w:lang w:val="en-US" w:eastAsia="zh-CN"/>
              </w:rPr>
              <w:t xml:space="preserve"> </w:t>
            </w:r>
            <w:r>
              <w:rPr>
                <w:rFonts w:hint="default" w:ascii="Times New Roman" w:hAnsi="Times New Roman" w:eastAsia="仿宋_GB2312" w:cs="Times New Roman"/>
                <w:sz w:val="20"/>
                <w:szCs w:val="20"/>
                <w:highlight w:val="none"/>
              </w:rPr>
              <w:t>金情况清单</w:t>
            </w:r>
          </w:p>
          <w:p>
            <w:pPr>
              <w:numPr>
                <w:ilvl w:val="0"/>
                <w:numId w:val="8"/>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有转移支付资金的各</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主管部门汇总情况的盖章PDF版　</w:t>
            </w:r>
          </w:p>
        </w:tc>
      </w:tr>
      <w:tr>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nil"/>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提交报告</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8022" w:type="dxa"/>
            <w:gridSpan w:val="2"/>
            <w:tcBorders>
              <w:top w:val="nil"/>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按时向</w:t>
            </w:r>
            <w:r>
              <w:rPr>
                <w:rFonts w:hint="eastAsia" w:ascii="Times New Roman" w:hAnsi="Times New Roman" w:eastAsia="仿宋_GB2312" w:cs="Times New Roman"/>
                <w:sz w:val="20"/>
                <w:szCs w:val="20"/>
                <w:highlight w:val="none"/>
                <w:lang w:eastAsia="zh-CN"/>
              </w:rPr>
              <w:t>市财政局</w:t>
            </w:r>
            <w:r>
              <w:rPr>
                <w:rFonts w:hint="default" w:ascii="Times New Roman" w:hAnsi="Times New Roman" w:eastAsia="仿宋_GB2312" w:cs="Times New Roman"/>
                <w:sz w:val="20"/>
                <w:szCs w:val="20"/>
                <w:highlight w:val="none"/>
              </w:rPr>
              <w:t>报送报告的得10分；每推迟一个工作日报送报告的扣1分，最多扣10分。</w:t>
            </w:r>
          </w:p>
        </w:tc>
      </w:tr>
      <w:tr>
        <w:tblPrEx>
          <w:tblCellMar>
            <w:top w:w="0" w:type="dxa"/>
            <w:left w:w="108" w:type="dxa"/>
            <w:bottom w:w="0" w:type="dxa"/>
            <w:right w:w="108" w:type="dxa"/>
          </w:tblCellMar>
        </w:tblPrEx>
        <w:trPr>
          <w:trHeight w:val="740" w:hRule="atLeast"/>
          <w:jc w:val="center"/>
        </w:trPr>
        <w:tc>
          <w:tcPr>
            <w:tcW w:w="74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自评报告</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70分</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完整性</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绩效自评报告正文部分内容齐全的，得8分；否则每少一个部分扣2分，最多扣8分。</w:t>
            </w:r>
          </w:p>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绩效自评报告附件部分内容齐全的，得7分；否则每少一个部分扣2分，最多扣7分。</w:t>
            </w:r>
          </w:p>
        </w:tc>
      </w:tr>
      <w:tr>
        <w:tblPrEx>
          <w:tblCellMar>
            <w:top w:w="0" w:type="dxa"/>
            <w:left w:w="108" w:type="dxa"/>
            <w:bottom w:w="0" w:type="dxa"/>
            <w:right w:w="108" w:type="dxa"/>
          </w:tblCellMar>
        </w:tblPrEx>
        <w:trPr>
          <w:trHeight w:val="2143"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自评表</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1、部门整体支出和项目支出绩效指标反映产出、效益、服务对象满意度方面的指标和预算执行率的权重符合《</w:t>
            </w:r>
            <w:r>
              <w:rPr>
                <w:rFonts w:hint="eastAsia" w:ascii="Times New Roman" w:hAnsi="Times New Roman" w:eastAsia="仿宋_GB2312" w:cs="Times New Roman"/>
                <w:sz w:val="20"/>
                <w:szCs w:val="20"/>
                <w:highlight w:val="none"/>
                <w:lang w:eastAsia="zh-CN"/>
              </w:rPr>
              <w:t>岳阳市市级</w:t>
            </w:r>
            <w:r>
              <w:rPr>
                <w:rFonts w:hint="default" w:ascii="Times New Roman" w:hAnsi="Times New Roman" w:eastAsia="仿宋_GB2312" w:cs="Times New Roman"/>
                <w:sz w:val="20"/>
                <w:szCs w:val="20"/>
                <w:highlight w:val="none"/>
              </w:rPr>
              <w:t>预算部门绩效自评操作规程》要求的，得5分，否则按比例扣除相应的分数。</w:t>
            </w:r>
          </w:p>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部门整体支出和项目支出绩效指标全部细化到三级指标的，得5分；部分细化的，酌情扣分；没有细化的，不得分。</w:t>
            </w:r>
          </w:p>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3</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三级绩效指标内涵明确、具体、可衡量的得5分；突出核心指标，精简实用的得3分；指标与部门整体支出和项目支出密切相关，全面反映产出和效益的得2分；否则，每项酌情扣分，最多扣10分。</w:t>
            </w:r>
          </w:p>
        </w:tc>
      </w:tr>
      <w:tr>
        <w:tblPrEx>
          <w:tblCellMar>
            <w:top w:w="0" w:type="dxa"/>
            <w:left w:w="108" w:type="dxa"/>
            <w:bottom w:w="0" w:type="dxa"/>
            <w:right w:w="108" w:type="dxa"/>
          </w:tblCellMar>
        </w:tblPrEx>
        <w:trPr>
          <w:trHeight w:val="119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highlight w:val="none"/>
              </w:rPr>
            </w:pPr>
          </w:p>
          <w:p>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反映问</w:t>
            </w:r>
          </w:p>
          <w:p>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题情况</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从预算和预算绩效管理，部门履职效能，资金分配、使用和管理，资产和财务管理，政府采购等方面归纳问题、分析原因全面的，得20分；反映问题、分析原因较全面的，得16—18分；反映问题、分析原因不全面的，得13—15分；问题未归纳且过于简单的，得10—12分；只提出资金不足问题的不得分；其他情况酌情扣分。　</w:t>
            </w:r>
          </w:p>
        </w:tc>
      </w:tr>
      <w:tr>
        <w:tblPrEx>
          <w:tblCellMar>
            <w:top w:w="0" w:type="dxa"/>
            <w:left w:w="108" w:type="dxa"/>
            <w:bottom w:w="0" w:type="dxa"/>
            <w:right w:w="108" w:type="dxa"/>
          </w:tblCellMar>
        </w:tblPrEx>
        <w:trPr>
          <w:trHeight w:val="62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建议情况</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建议与问题对应且全面的得15分，建议比较全面的得12—14分，建议不全面的得9—11分，建议过于简单的得6—8分，只提出加大资金投入建议的不得分；其他情况酌情扣分。</w:t>
            </w:r>
          </w:p>
        </w:tc>
      </w:tr>
      <w:tr>
        <w:tblPrEx>
          <w:tblCellMar>
            <w:top w:w="0" w:type="dxa"/>
            <w:left w:w="108" w:type="dxa"/>
            <w:bottom w:w="0" w:type="dxa"/>
            <w:right w:w="108" w:type="dxa"/>
          </w:tblCellMar>
        </w:tblPrEx>
        <w:trPr>
          <w:trHeight w:val="495"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合计</w:t>
            </w:r>
          </w:p>
        </w:tc>
        <w:tc>
          <w:tcPr>
            <w:tcW w:w="117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100分</w:t>
            </w:r>
          </w:p>
        </w:tc>
        <w:tc>
          <w:tcPr>
            <w:tcW w:w="8022"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lang w:val="en-US" w:eastAsia="zh-CN"/>
              </w:rPr>
            </w:pPr>
            <w:r>
              <w:rPr>
                <w:rFonts w:hint="default" w:ascii="Times New Roman" w:hAnsi="Times New Roman" w:eastAsia="仿宋_GB2312" w:cs="Times New Roman"/>
                <w:sz w:val="20"/>
                <w:szCs w:val="20"/>
                <w:highlight w:val="none"/>
              </w:rPr>
              <w:t>　</w:t>
            </w:r>
            <w:r>
              <w:rPr>
                <w:rFonts w:hint="eastAsia" w:ascii="Times New Roman" w:hAnsi="Times New Roman" w:eastAsia="仿宋_GB2312" w:cs="Times New Roman"/>
                <w:sz w:val="20"/>
                <w:szCs w:val="20"/>
                <w:highlight w:val="none"/>
                <w:lang w:val="en-US" w:eastAsia="zh-CN"/>
              </w:rPr>
              <w:t>98</w:t>
            </w:r>
          </w:p>
        </w:tc>
      </w:tr>
    </w:tbl>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0000600000000000000"/>
    <w:charset w:val="86"/>
    <w:family w:val="auto"/>
    <w:pitch w:val="default"/>
    <w:sig w:usb0="800002BF" w:usb1="184F6CF8" w:usb2="00000012" w:usb3="00000000" w:csb0="00160001" w:csb1="12030000"/>
  </w:font>
  <w:font w:name="方正小标宋_GBK">
    <w:altName w:val="微软雅黑"/>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9E57AF"/>
    <w:multiLevelType w:val="singleLevel"/>
    <w:tmpl w:val="C19E57AF"/>
    <w:lvl w:ilvl="0" w:tentative="0">
      <w:start w:val="2"/>
      <w:numFmt w:val="chineseCounting"/>
      <w:suff w:val="nothing"/>
      <w:lvlText w:val="（%1）"/>
      <w:lvlJc w:val="left"/>
      <w:pPr>
        <w:ind w:left="-360"/>
      </w:pPr>
      <w:rPr>
        <w:rFonts w:hint="eastAsia" w:ascii="楷体" w:hAnsi="楷体" w:eastAsia="楷体" w:cs="楷体"/>
        <w:sz w:val="32"/>
        <w:szCs w:val="32"/>
      </w:rPr>
    </w:lvl>
  </w:abstractNum>
  <w:abstractNum w:abstractNumId="1">
    <w:nsid w:val="DA81C459"/>
    <w:multiLevelType w:val="singleLevel"/>
    <w:tmpl w:val="DA81C459"/>
    <w:lvl w:ilvl="0" w:tentative="0">
      <w:start w:val="2"/>
      <w:numFmt w:val="chineseCounting"/>
      <w:suff w:val="nothing"/>
      <w:lvlText w:val="（%1）"/>
      <w:lvlJc w:val="left"/>
      <w:rPr>
        <w:rFonts w:hint="eastAsia" w:ascii="楷体" w:hAnsi="楷体" w:eastAsia="楷体" w:cs="楷体"/>
        <w:sz w:val="32"/>
        <w:szCs w:val="32"/>
      </w:rPr>
    </w:lvl>
  </w:abstractNum>
  <w:abstractNum w:abstractNumId="2">
    <w:nsid w:val="1BCD131B"/>
    <w:multiLevelType w:val="singleLevel"/>
    <w:tmpl w:val="1BCD131B"/>
    <w:lvl w:ilvl="0" w:tentative="0">
      <w:start w:val="8"/>
      <w:numFmt w:val="chineseCounting"/>
      <w:suff w:val="nothing"/>
      <w:lvlText w:val="%1、"/>
      <w:lvlJc w:val="left"/>
      <w:rPr>
        <w:rFonts w:hint="eastAsia"/>
      </w:rPr>
    </w:lvl>
  </w:abstractNum>
  <w:abstractNum w:abstractNumId="3">
    <w:nsid w:val="1DD36296"/>
    <w:multiLevelType w:val="singleLevel"/>
    <w:tmpl w:val="1DD36296"/>
    <w:lvl w:ilvl="0" w:tentative="0">
      <w:start w:val="1"/>
      <w:numFmt w:val="chineseCounting"/>
      <w:suff w:val="nothing"/>
      <w:lvlText w:val="%1、"/>
      <w:lvlJc w:val="left"/>
      <w:rPr>
        <w:rFonts w:hint="eastAsia"/>
      </w:rPr>
    </w:lvl>
  </w:abstractNum>
  <w:abstractNum w:abstractNumId="4">
    <w:nsid w:val="2D643DA0"/>
    <w:multiLevelType w:val="singleLevel"/>
    <w:tmpl w:val="2D643DA0"/>
    <w:lvl w:ilvl="0" w:tentative="0">
      <w:start w:val="1"/>
      <w:numFmt w:val="decimal"/>
      <w:suff w:val="nothing"/>
      <w:lvlText w:val="%1、"/>
      <w:lvlJc w:val="left"/>
    </w:lvl>
  </w:abstractNum>
  <w:abstractNum w:abstractNumId="5">
    <w:nsid w:val="59CC8B3D"/>
    <w:multiLevelType w:val="singleLevel"/>
    <w:tmpl w:val="59CC8B3D"/>
    <w:lvl w:ilvl="0" w:tentative="0">
      <w:start w:val="1"/>
      <w:numFmt w:val="chineseCounting"/>
      <w:suff w:val="nothing"/>
      <w:lvlText w:val="（%1）"/>
      <w:lvlJc w:val="left"/>
      <w:rPr>
        <w:rFonts w:hint="eastAsia"/>
      </w:rPr>
    </w:lvl>
  </w:abstractNum>
  <w:abstractNum w:abstractNumId="6">
    <w:nsid w:val="5DDF8822"/>
    <w:multiLevelType w:val="singleLevel"/>
    <w:tmpl w:val="5DDF8822"/>
    <w:lvl w:ilvl="0" w:tentative="0">
      <w:start w:val="1"/>
      <w:numFmt w:val="decimal"/>
      <w:suff w:val="nothing"/>
      <w:lvlText w:val="%1、"/>
      <w:lvlJc w:val="left"/>
    </w:lvl>
  </w:abstractNum>
  <w:abstractNum w:abstractNumId="7">
    <w:nsid w:val="72666873"/>
    <w:multiLevelType w:val="singleLevel"/>
    <w:tmpl w:val="72666873"/>
    <w:lvl w:ilvl="0" w:tentative="0">
      <w:start w:val="4"/>
      <w:numFmt w:val="chineseCounting"/>
      <w:suff w:val="nothing"/>
      <w:lvlText w:val="%1、"/>
      <w:lvlJc w:val="left"/>
      <w:rPr>
        <w:rFonts w:hint="eastAsia"/>
      </w:rPr>
    </w:lvl>
  </w:abstractNum>
  <w:num w:numId="1">
    <w:abstractNumId w:val="3"/>
  </w:num>
  <w:num w:numId="2">
    <w:abstractNumId w:val="5"/>
  </w:num>
  <w:num w:numId="3">
    <w:abstractNumId w:val="7"/>
  </w:num>
  <w:num w:numId="4">
    <w:abstractNumId w:val="0"/>
  </w:num>
  <w:num w:numId="5">
    <w:abstractNumId w:val="2"/>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1ZDg1MjQyMWM5NGNiNzE1YmE2OTlhMTU3MzM4MzAifQ=="/>
  </w:docVars>
  <w:rsids>
    <w:rsidRoot w:val="59886344"/>
    <w:rsid w:val="0A467A21"/>
    <w:rsid w:val="0E710FB3"/>
    <w:rsid w:val="1356560D"/>
    <w:rsid w:val="1AD81A1B"/>
    <w:rsid w:val="1CB462C1"/>
    <w:rsid w:val="1F38206B"/>
    <w:rsid w:val="22220C72"/>
    <w:rsid w:val="274176DD"/>
    <w:rsid w:val="2CB52ADF"/>
    <w:rsid w:val="2D7A1A9E"/>
    <w:rsid w:val="2E114AFB"/>
    <w:rsid w:val="36C93C0A"/>
    <w:rsid w:val="3A0164D6"/>
    <w:rsid w:val="3CE26112"/>
    <w:rsid w:val="43A364AD"/>
    <w:rsid w:val="49C65963"/>
    <w:rsid w:val="52E92CAF"/>
    <w:rsid w:val="538256AC"/>
    <w:rsid w:val="55004DFD"/>
    <w:rsid w:val="58670CF0"/>
    <w:rsid w:val="597B2CA5"/>
    <w:rsid w:val="59886344"/>
    <w:rsid w:val="5A5A0E47"/>
    <w:rsid w:val="5C5A0BD2"/>
    <w:rsid w:val="5CCD6BA5"/>
    <w:rsid w:val="5CF9234B"/>
    <w:rsid w:val="6516562F"/>
    <w:rsid w:val="66954A48"/>
    <w:rsid w:val="66D77B48"/>
    <w:rsid w:val="68193552"/>
    <w:rsid w:val="6AD037C8"/>
    <w:rsid w:val="70C62A07"/>
    <w:rsid w:val="7A050594"/>
    <w:rsid w:val="7D6F1D42"/>
    <w:rsid w:val="DFEF8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kern w:val="0"/>
      <w:sz w:val="28"/>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4">
    <w:name w:val="Body Text"/>
    <w:basedOn w:val="1"/>
    <w:autoRedefine/>
    <w:semiHidden/>
    <w:qFormat/>
    <w:uiPriority w:val="0"/>
    <w:rPr>
      <w:rFonts w:ascii="仿宋" w:hAnsi="仿宋" w:eastAsia="仿宋" w:cs="仿宋"/>
      <w:sz w:val="31"/>
      <w:szCs w:val="31"/>
      <w:lang w:val="en-US" w:eastAsia="en-US" w:bidi="ar-SA"/>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8">
    <w:name w:val="列出段落1"/>
    <w:basedOn w:val="1"/>
    <w:autoRedefine/>
    <w:qFormat/>
    <w:uiPriority w:val="34"/>
    <w:pPr>
      <w:ind w:firstLine="420" w:firstLineChars="200"/>
    </w:pPr>
  </w:style>
  <w:style w:type="paragraph" w:styleId="9">
    <w:name w:val="List Paragraph"/>
    <w:basedOn w:val="1"/>
    <w:autoRedefine/>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5956</Words>
  <Characters>6454</Characters>
  <Lines>0</Lines>
  <Paragraphs>0</Paragraphs>
  <TotalTime>11</TotalTime>
  <ScaleCrop>false</ScaleCrop>
  <LinksUpToDate>false</LinksUpToDate>
  <CharactersWithSpaces>6719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2024-03-18T08:36:00Z</dcterms:created>
  <dc:creator>Administrator</dc:creator>
  <cp:lastModifiedBy>口天wu</cp:lastModifiedBy>
  <dcterms:modified xsi:type="dcterms:W3CDTF">2024-07-12T03:05:24Z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5079B13C6D544FC8A724CC6DC831BDD8_13</vt:lpwstr>
  </property>
</Properties>
</file>