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20</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37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1190.43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161.64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1718.13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1089.79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83.64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1634.49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val="en-US" w:eastAsia="zh-CN"/>
              </w:rPr>
              <w:t>粮食储备专项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41.98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37.65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38.66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6.13</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11</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FF0000"/>
                <w:sz w:val="20"/>
                <w:szCs w:val="20"/>
                <w:highlight w:val="none"/>
                <w:lang w:val="en-US" w:eastAsia="zh-CN"/>
              </w:rPr>
              <w:t>5.81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FF0000"/>
                <w:sz w:val="20"/>
                <w:szCs w:val="20"/>
                <w:highlight w:val="none"/>
                <w:lang w:val="en-US" w:eastAsia="zh-CN"/>
              </w:rPr>
              <w:t>1.85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FF0000"/>
                <w:sz w:val="20"/>
                <w:szCs w:val="20"/>
                <w:highlight w:val="none"/>
                <w:lang w:val="en-US" w:eastAsia="zh-CN"/>
              </w:rPr>
              <w:t>4.08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FF0000"/>
                <w:sz w:val="20"/>
                <w:szCs w:val="20"/>
                <w:highlight w:val="none"/>
                <w:lang w:val="en-US" w:eastAsia="zh-CN"/>
              </w:rPr>
              <w:t>0.03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4.12</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3.50</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无</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1、</w:t>
            </w:r>
            <w:r>
              <w:rPr>
                <w:rFonts w:ascii="仿宋_GB2312" w:hAnsi="仿宋_GB2312" w:eastAsia="仿宋_GB2312" w:cs="仿宋_GB2312"/>
                <w:sz w:val="20"/>
                <w:szCs w:val="20"/>
              </w:rPr>
              <w:t>加强思想教育和组织领导，确保全体员工充分认识到厉行节约的重要性；</w:t>
            </w:r>
            <w:r>
              <w:rPr>
                <w:rFonts w:hint="eastAsia" w:ascii="仿宋_GB2312" w:hAnsi="仿宋_GB2312" w:eastAsia="仿宋_GB2312" w:cs="仿宋_GB2312"/>
                <w:sz w:val="20"/>
                <w:szCs w:val="20"/>
              </w:rPr>
              <w:t>2、</w:t>
            </w:r>
            <w:r>
              <w:rPr>
                <w:rFonts w:ascii="仿宋_GB2312" w:hAnsi="仿宋_GB2312" w:eastAsia="仿宋_GB2312" w:cs="仿宋_GB2312"/>
                <w:sz w:val="20"/>
                <w:szCs w:val="20"/>
              </w:rPr>
              <w:t>严格控制“三公”经费，加强公务接待管理，严禁超标准、同城接待；</w:t>
            </w:r>
            <w:r>
              <w:rPr>
                <w:rFonts w:hint="eastAsia" w:ascii="仿宋_GB2312" w:hAnsi="仿宋_GB2312" w:eastAsia="仿宋_GB2312" w:cs="仿宋_GB2312"/>
                <w:sz w:val="20"/>
                <w:szCs w:val="20"/>
              </w:rPr>
              <w:t>3、</w:t>
            </w:r>
            <w:r>
              <w:rPr>
                <w:rFonts w:ascii="仿宋_GB2312" w:hAnsi="仿宋_GB2312" w:eastAsia="仿宋_GB2312" w:cs="仿宋_GB2312"/>
                <w:sz w:val="20"/>
                <w:szCs w:val="20"/>
              </w:rPr>
              <w:t>优化压缩项目支出，包括会议费、差旅费以及劳务费、宣传费等只减不增。大力推行</w:t>
            </w:r>
            <w:r>
              <w:fldChar w:fldCharType="begin"/>
            </w:r>
            <w:r>
              <w:instrText xml:space="preserve"> HYPERLINK "https://www.baidu.com/s?rsv_idx=1&amp;ch=23&amp;tn=98010089_dg&amp;wd=%E6%97%A0%E7%BA%B8%E5%8C%96%E5%8A%9E%E5%85%AC&amp;fenlei=256&amp;usm=1&amp;ie=utf-8&amp;rsv_pq=89c0e95b000c1ddb&amp;oq=%E8%A1%8C%E6%94%BF%E5%8D%95%E4%BD%8D%E5%8E%89%E8%A1%8C%E8%8A%82%E7%BA%A6%E4%BF%9D%E9%9A%9C%E6%8E%AA%E6%96%BD&amp;rsv_t=d231e49jXiX0H3FqxtH2c406d8FFJPpKqV0JyCVq7UxRq5I4M02gGhvqKiKfStPVtBU&amp;sa=re_dqa_zy&amp;icon=1" \t "_self" </w:instrText>
            </w:r>
            <w:r>
              <w:fldChar w:fldCharType="separate"/>
            </w:r>
            <w:r>
              <w:rPr>
                <w:rFonts w:ascii="仿宋_GB2312" w:hAnsi="仿宋_GB2312" w:eastAsia="仿宋_GB2312" w:cs="仿宋_GB2312"/>
                <w:sz w:val="20"/>
                <w:szCs w:val="20"/>
              </w:rPr>
              <w:t>无纸化办公</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w:t>
            </w:r>
            <w:r>
              <w:fldChar w:fldCharType="begin"/>
            </w:r>
            <w:r>
              <w:instrText xml:space="preserve"> HYPERLINK "https://www.baidu.com/s?rsv_idx=1&amp;ch=23&amp;tn=98010089_dg&amp;wd=%E5%8F%8C%E9%9D%A2%E6%89%93%E5%8D%B0&amp;fenlei=256&amp;usm=1&amp;ie=utf-8&amp;rsv_pq=89c0e95b000c1ddb&amp;oq=%E8%A1%8C%E6%94%BF%E5%8D%95%E4%BD%8D%E5%8E%89%E8%A1%8C%E8%8A%82%E7%BA%A6%E4%BF%9D%E9%9A%9C%E6%8E%AA%E6%96%BD&amp;rsv_t=d231e49jXiX0H3FqxtH2c406d8FFJPpKqV0JyCVq7UxRq5I4M02gGhvqKiKfStPVtBU&amp;sa=re_dqa_zy&amp;icon=1" \t "_self" </w:instrText>
            </w:r>
            <w:r>
              <w:fldChar w:fldCharType="separate"/>
            </w:r>
            <w:r>
              <w:rPr>
                <w:rFonts w:ascii="仿宋_GB2312" w:hAnsi="仿宋_GB2312" w:eastAsia="仿宋_GB2312" w:cs="仿宋_GB2312"/>
                <w:sz w:val="20"/>
                <w:szCs w:val="20"/>
              </w:rPr>
              <w:t>双面打印</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等</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刘雨桐</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2024年6月24日</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13298504792</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岳阳市君山区商务粮食局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541.04</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2228.08</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2228.08</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1970.86</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638.54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19.07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1589.54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238.15</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紧紧抓住区委、区政府下达的经济工作目标，确保完成目标任务；</w:t>
            </w:r>
            <w:r>
              <w:rPr>
                <w:rFonts w:hint="eastAsia" w:ascii="仿宋_GB2312" w:hAnsi="仿宋_GB2312" w:eastAsia="仿宋_GB2312" w:cs="仿宋_GB2312"/>
                <w:sz w:val="20"/>
                <w:szCs w:val="20"/>
                <w:lang w:val="en-US" w:eastAsia="zh-CN"/>
              </w:rPr>
              <w:t>加强市场运行监测，持续做好商务领域安全生产工作，防范化解各类风险；加强与企业的联系沟通，定期深入企业开展调研，进行面对面的指导和服务，帮助企业解决实际问题；</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社会消费品零售总额：1-8月全区社会消费品零售总额完成45.7亿元，增幅9.3%，增幅全市排名第3。外贸进出口总额：1-8月全区外贸进出口额完成10402万元，已圆满完成市定目标</w:t>
            </w:r>
            <w:r>
              <w:rPr>
                <w:rFonts w:hint="eastAsia" w:ascii="仿宋_GB2312" w:hAnsi="仿宋_GB2312" w:eastAsia="仿宋_GB2312" w:cs="仿宋_GB2312"/>
                <w:color w:val="000000"/>
                <w:sz w:val="20"/>
                <w:szCs w:val="20"/>
                <w:highlight w:val="none"/>
                <w:lang w:eastAsia="zh-CN"/>
              </w:rPr>
              <w:t>；高质量推进全省粮食购销领域监管信息化工作，着力构建“三湘粮仓”穿透式数字监管体系，扎实推进全区粮食产后服务中心建设，完成了相关配套设施设备采购和维修建设；邀请企业老总来我局参加分管副区长组织的座谈会，积极向企业宣传国家和省市的外商投资相关政策，持续协助企业申报资金扶持、落地服务、贷款贴息、融资担保和费用减免等优惠政策。</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1、壮大外贸主体、优化营商环境。</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1、牵头承办1-2项大型促消费主题活动</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贯通全年促消费。</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、夯实社零总额和增速基础。</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组织了2023年农产品年货展销会、油菜花节美食展、美食展、优特产品展、商粮之夜等促消费活动</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社会消费品零售总额：</w:t>
            </w:r>
            <w:r>
              <w:rPr>
                <w:rFonts w:hint="eastAsia" w:ascii="仿宋_GB2312" w:hAnsi="仿宋_GB2312" w:eastAsia="仿宋_GB2312" w:cs="仿宋_GB2312"/>
                <w:color w:val="000000"/>
                <w:sz w:val="20"/>
                <w:szCs w:val="20"/>
                <w:highlight w:val="none"/>
                <w:lang w:eastAsia="zh-CN"/>
              </w:rPr>
              <w:t>1-8月全区社会消费品零售总额完成45.7亿元，增幅9.3%，增幅全市排名第3。</w:t>
            </w:r>
            <w:r>
              <w:rPr>
                <w:rFonts w:hint="eastAsia" w:ascii="仿宋_GB2312" w:hAnsi="仿宋_GB2312" w:eastAsia="仿宋_GB2312" w:cs="仿宋_GB2312"/>
                <w:color w:val="000000"/>
                <w:sz w:val="20"/>
                <w:szCs w:val="20"/>
                <w:highlight w:val="none"/>
                <w:lang w:val="en-US" w:eastAsia="zh-CN"/>
              </w:rPr>
              <w:t>外贸进出口总额：</w:t>
            </w:r>
            <w:r>
              <w:rPr>
                <w:rFonts w:hint="eastAsia" w:ascii="仿宋_GB2312" w:hAnsi="仿宋_GB2312" w:eastAsia="仿宋_GB2312" w:cs="仿宋_GB2312"/>
                <w:color w:val="000000"/>
                <w:sz w:val="20"/>
                <w:szCs w:val="20"/>
                <w:highlight w:val="none"/>
                <w:lang w:eastAsia="zh-CN"/>
              </w:rPr>
              <w:t>1-</w:t>
            </w:r>
            <w:r>
              <w:rPr>
                <w:rFonts w:hint="eastAsia" w:ascii="仿宋_GB2312" w:hAnsi="仿宋_GB2312" w:eastAsia="仿宋_GB2312" w:cs="仿宋_GB2312"/>
                <w:color w:val="000000"/>
                <w:sz w:val="20"/>
                <w:szCs w:val="20"/>
                <w:highlight w:val="none"/>
                <w:lang w:val="en-US" w:eastAsia="zh-CN"/>
              </w:rPr>
              <w:t>8</w:t>
            </w:r>
            <w:r>
              <w:rPr>
                <w:rFonts w:hint="eastAsia" w:ascii="仿宋_GB2312" w:hAnsi="仿宋_GB2312" w:eastAsia="仿宋_GB2312" w:cs="仿宋_GB2312"/>
                <w:color w:val="000000"/>
                <w:sz w:val="20"/>
                <w:szCs w:val="20"/>
                <w:highlight w:val="none"/>
                <w:lang w:eastAsia="zh-CN"/>
              </w:rPr>
              <w:t>月全区外贸进出口额完成</w:t>
            </w:r>
            <w:r>
              <w:rPr>
                <w:rFonts w:hint="eastAsia" w:ascii="仿宋_GB2312" w:hAnsi="仿宋_GB2312" w:eastAsia="仿宋_GB2312" w:cs="仿宋_GB2312"/>
                <w:color w:val="000000"/>
                <w:sz w:val="20"/>
                <w:szCs w:val="20"/>
                <w:highlight w:val="none"/>
                <w:lang w:val="en-US" w:eastAsia="zh-CN"/>
              </w:rPr>
              <w:t>10402</w:t>
            </w:r>
            <w:r>
              <w:rPr>
                <w:rFonts w:hint="eastAsia" w:ascii="仿宋_GB2312" w:hAnsi="仿宋_GB2312" w:eastAsia="仿宋_GB2312" w:cs="仿宋_GB2312"/>
                <w:color w:val="000000"/>
                <w:sz w:val="20"/>
                <w:szCs w:val="20"/>
                <w:highlight w:val="none"/>
                <w:lang w:eastAsia="zh-CN"/>
              </w:rPr>
              <w:t>万元，</w:t>
            </w:r>
            <w:r>
              <w:rPr>
                <w:rFonts w:hint="eastAsia" w:ascii="仿宋_GB2312" w:hAnsi="仿宋_GB2312" w:eastAsia="仿宋_GB2312" w:cs="仿宋_GB2312"/>
                <w:color w:val="000000"/>
                <w:sz w:val="20"/>
                <w:szCs w:val="20"/>
                <w:highlight w:val="none"/>
                <w:lang w:val="en-US" w:eastAsia="zh-CN"/>
              </w:rPr>
              <w:t>已圆满</w:t>
            </w:r>
            <w:r>
              <w:rPr>
                <w:rFonts w:hint="eastAsia" w:ascii="仿宋_GB2312" w:hAnsi="仿宋_GB2312" w:eastAsia="仿宋_GB2312" w:cs="仿宋_GB2312"/>
                <w:color w:val="000000"/>
                <w:sz w:val="20"/>
                <w:szCs w:val="20"/>
                <w:highlight w:val="none"/>
                <w:lang w:eastAsia="zh-CN"/>
              </w:rPr>
              <w:t>完成市定目标。</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1、拓商引资要有新突破</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项目建设要有新成效。</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、安全稳定要有新气象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提升招商引资水平；落实区委、区政府主要领导的要求；守住安全生产的红线和系统稳定的底线。</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以项目谋划推进县域商业体系建设，今年推荐家宁城市广场等14个项目申报岳阳市生活必需品保供体系建设项目；</w:t>
            </w:r>
            <w:r>
              <w:rPr>
                <w:rFonts w:hint="eastAsia" w:ascii="仿宋_GB2312" w:hAnsi="仿宋_GB2312" w:eastAsia="仿宋_GB2312" w:cs="仿宋_GB2312"/>
                <w:color w:val="000000"/>
                <w:sz w:val="20"/>
                <w:szCs w:val="20"/>
                <w:highlight w:val="none"/>
                <w:lang w:val="en-US" w:eastAsia="zh-CN"/>
              </w:rPr>
              <w:t>定期对安全生产排查整改。</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规定时间完成年度目标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2023年</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整体支出成本</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控制在预算指标内</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支出</w:t>
            </w:r>
            <w:r>
              <w:rPr>
                <w:rFonts w:hint="eastAsia" w:ascii="仿宋_GB2312" w:hAnsi="仿宋_GB2312" w:eastAsia="仿宋_GB2312" w:cs="仿宋_GB2312"/>
                <w:color w:val="000000"/>
                <w:sz w:val="20"/>
                <w:szCs w:val="20"/>
                <w:highlight w:val="none"/>
              </w:rPr>
              <w:t>控制在预算指标内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1、壮大外贸主体。2、优化营商环境。3、提供服务保障。4、推动电商发展</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1、牵头承办1-2项大型促消费主题活动。2、贯通全年促消费。</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组织企业参加由我局主办的君山区跨境</w:t>
            </w:r>
            <w:r>
              <w:rPr>
                <w:rFonts w:hint="eastAsia" w:ascii="仿宋_GB2312" w:hAnsi="仿宋_GB2312" w:eastAsia="仿宋_GB2312" w:cs="仿宋_GB2312"/>
                <w:color w:val="000000"/>
                <w:sz w:val="20"/>
                <w:szCs w:val="20"/>
                <w:highlight w:val="none"/>
                <w:lang w:val="en-US" w:eastAsia="zh-CN"/>
              </w:rPr>
              <w:t>电子商务</w:t>
            </w:r>
            <w:r>
              <w:rPr>
                <w:rFonts w:hint="eastAsia" w:ascii="仿宋_GB2312" w:hAnsi="仿宋_GB2312" w:eastAsia="仿宋_GB2312" w:cs="仿宋_GB2312"/>
                <w:color w:val="000000"/>
                <w:sz w:val="20"/>
                <w:szCs w:val="20"/>
                <w:highlight w:val="none"/>
                <w:lang w:eastAsia="zh-CN"/>
              </w:rPr>
              <w:t>培训，重点走访家福家纺、童记三利和等外贸企业，鼓励外贸企业发展跨境电商。开展消费帮扶。在电商创业园建立消费帮扶食堂食材展示中心，展示我区芥菜、大米、莲子、蛋类等优质农特产品。</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1、对外贸易提质增效。2、促进消费稳步增长。3、粮食安全保障有力。</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促进消费健康发展，激发市场活力，释放消费潜力</w:t>
            </w:r>
            <w:r>
              <w:rPr>
                <w:rFonts w:hint="eastAsia" w:ascii="仿宋_GB2312" w:hAnsi="仿宋_GB2312" w:eastAsia="仿宋_GB2312" w:cs="仿宋_GB2312"/>
                <w:color w:val="000000"/>
                <w:sz w:val="20"/>
                <w:szCs w:val="20"/>
                <w:highlight w:val="none"/>
                <w:lang w:eastAsia="zh-CN"/>
              </w:rPr>
              <w:t>，全力保障粮食安全</w:t>
            </w:r>
            <w:r>
              <w:rPr>
                <w:rFonts w:hint="eastAsia" w:ascii="仿宋_GB2312" w:hAnsi="仿宋_GB2312" w:eastAsia="仿宋_GB2312" w:cs="仿宋_GB2312"/>
                <w:color w:val="000000"/>
                <w:sz w:val="20"/>
                <w:szCs w:val="20"/>
                <w:highlight w:val="none"/>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精心策划组织了2023年农产品年货展销会、油菜花节美食展、美食展、优特产品展、商粮之夜等促消费活动</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释放政策红利促销</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多媒体宣传</w:t>
            </w:r>
            <w:bookmarkStart w:id="0" w:name="_GoBack"/>
            <w:bookmarkEnd w:id="0"/>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高质量推进全省粮食购销领域监管信息化工作，对区粮食购销公司高台点0.5万吨仓和湖南大农粮食米业公司0.15万吨仓进行监管信息化升级改造</w:t>
            </w:r>
            <w:r>
              <w:rPr>
                <w:rFonts w:hint="eastAsia" w:ascii="仿宋_GB2312" w:hAnsi="仿宋_GB2312" w:eastAsia="仿宋_GB2312" w:cs="仿宋_GB2312"/>
                <w:color w:val="000000"/>
                <w:sz w:val="20"/>
                <w:szCs w:val="20"/>
                <w:highlight w:val="none"/>
                <w:lang w:eastAsia="zh-CN"/>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安全稳定要有新气象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和谐稳定保平安</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安全生产无事故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经费保障、制度完善</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费用开支控制在预算内，合理合规使用三公经费</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费用开支控制在预算内，</w:t>
            </w:r>
            <w:r>
              <w:rPr>
                <w:rFonts w:hint="eastAsia" w:ascii="仿宋_GB2312" w:hAnsi="仿宋_GB2312" w:eastAsia="仿宋_GB2312" w:cs="仿宋_GB2312"/>
                <w:color w:val="000000"/>
                <w:sz w:val="20"/>
                <w:szCs w:val="20"/>
                <w:highlight w:val="none"/>
                <w:lang w:val="en-US" w:eastAsia="zh-CN"/>
              </w:rPr>
              <w:t>严格使用</w:t>
            </w:r>
            <w:r>
              <w:rPr>
                <w:rFonts w:hint="eastAsia" w:ascii="仿宋_GB2312" w:hAnsi="仿宋_GB2312" w:eastAsia="仿宋_GB2312" w:cs="仿宋_GB2312"/>
                <w:color w:val="000000"/>
                <w:sz w:val="20"/>
                <w:szCs w:val="20"/>
                <w:highlight w:val="none"/>
              </w:rPr>
              <w:t>三公经费</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&gt;</w:t>
            </w:r>
            <w:r>
              <w:rPr>
                <w:rFonts w:hint="eastAsia" w:ascii="仿宋_GB2312" w:hAnsi="仿宋_GB2312" w:eastAsia="仿宋_GB2312" w:cs="仿宋_GB2312"/>
                <w:color w:val="000000"/>
                <w:sz w:val="20"/>
                <w:szCs w:val="20"/>
                <w:highlight w:val="none"/>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&gt;</w:t>
            </w:r>
            <w:r>
              <w:rPr>
                <w:rFonts w:hint="eastAsia" w:ascii="仿宋_GB2312" w:hAnsi="仿宋_GB2312" w:eastAsia="仿宋_GB2312" w:cs="仿宋_GB2312"/>
                <w:color w:val="000000"/>
                <w:sz w:val="20"/>
                <w:szCs w:val="20"/>
                <w:highlight w:val="none"/>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刘雨桐</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2024年6月24日</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13298504792</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粮食储备专项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岳阳市君山区商务粮食局</w:t>
            </w: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君山区粮食购销有限公司</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根据湖南省粮食和物资储备局关于做好2019年粮食收购监管工作的通知（湘粮执[2019]65号）、关于做好政策性粮食销售出库监管工作的通知（湘粮执[2019]91号）、关于印发《君山区落实粮食安全省长责任制考核办法》的通知（君政办发[2017]20号）、省政府办公厅《关于进一步增加我省地方粮食储备规模的通知》（湘政办函[2015]142号）、市政府办公室2016年2月1日下发了《关于进一步增加我市地方粮食储备规模的通知》（岳政函[2015]256号），为落实粮食安全地方行政首长负责制，区人民政府储备3000吨区级储备粮，用于调节所辖行政区域内粮食供求总量以及应对重大自然灾害或其他突发事件。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纳入岳阳市粮食安全责任制考核范畴</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地方储备粮完成下达计划</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3000吨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3000吨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根据</w:t>
            </w:r>
            <w:r>
              <w:rPr>
                <w:rFonts w:hint="eastAsia" w:ascii="仿宋_GB2312" w:hAnsi="仿宋_GB2312" w:eastAsia="仿宋_GB2312" w:cs="仿宋_GB2312"/>
                <w:color w:val="000000"/>
                <w:sz w:val="20"/>
                <w:szCs w:val="20"/>
                <w:highlight w:val="none"/>
              </w:rPr>
              <w:t>《湖南省地方储备粮管理办法》《君山区区级储备粮管理办法》</w:t>
            </w:r>
            <w:r>
              <w:rPr>
                <w:rFonts w:hint="eastAsia" w:ascii="仿宋_GB2312" w:hAnsi="仿宋_GB2312" w:eastAsia="仿宋_GB2312" w:cs="仿宋_GB2312"/>
                <w:color w:val="000000"/>
                <w:sz w:val="20"/>
                <w:szCs w:val="20"/>
                <w:highlight w:val="none"/>
                <w:lang w:val="en-US" w:eastAsia="zh-CN"/>
              </w:rPr>
              <w:t>保质保量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质量良好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质量良好</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本年内</w:t>
            </w:r>
            <w:r>
              <w:rPr>
                <w:rFonts w:hint="eastAsia" w:ascii="仿宋_GB2312" w:hAnsi="仿宋_GB2312" w:eastAsia="仿宋_GB2312" w:cs="仿宋_GB2312"/>
                <w:color w:val="000000"/>
                <w:sz w:val="20"/>
                <w:szCs w:val="20"/>
                <w:highlight w:val="none"/>
              </w:rPr>
              <w:t>实行按计划均衡轮换制度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数量真实、质量良好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保证中心城区3个月口粮供应、稳定粮食市场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2100吨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2100吨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调节君山区粮食供应总量、应对重大自然灾害或其他突发公共灾害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保供稳价</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供应平衡、突发灾害口粮供应</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稳定粮食市场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2100吨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保证中心城区3个月口粮供应、稳定粮食市场</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保供稳价</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调节君山区粮食供应总量、应对重大自然灾害或其他突发公共灾害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供应平衡、突发灾害口粮供应</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改善粮食生态环境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提高抗灾能力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可以保证灾民生产自救</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居民满意度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&gt;</w:t>
            </w:r>
            <w:r>
              <w:rPr>
                <w:rFonts w:hint="eastAsia" w:ascii="仿宋_GB2312" w:hAnsi="宋体" w:eastAsia="仿宋_GB2312" w:cs="宋体"/>
                <w:kern w:val="0"/>
                <w:sz w:val="24"/>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居民满意度&gt;</w:t>
            </w:r>
            <w:r>
              <w:rPr>
                <w:rFonts w:hint="eastAsia" w:ascii="仿宋_GB2312" w:hAnsi="宋体" w:eastAsia="仿宋_GB2312" w:cs="宋体"/>
                <w:kern w:val="0"/>
                <w:sz w:val="24"/>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刘雨桐</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2024年6月24日</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13298504792</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君山区商务粮食局</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商务粮食局</w:t>
      </w:r>
      <w:r>
        <w:rPr>
          <w:rFonts w:hint="eastAsia" w:ascii="方正小标宋简体" w:hAnsi="方正小标宋简体" w:eastAsia="方正小标宋简体" w:cs="方正小标宋简体"/>
          <w:sz w:val="44"/>
          <w:szCs w:val="44"/>
          <w:highlight w:val="none"/>
        </w:rPr>
        <w:t>整体支出</w:t>
      </w:r>
    </w:p>
    <w:p>
      <w:pPr>
        <w:jc w:val="center"/>
        <w:rPr>
          <w:rFonts w:hint="default" w:ascii="Times New Roman" w:hAnsi="Times New Roman" w:eastAsia="仿宋_GB2312" w:cs="Times New Roman"/>
          <w:sz w:val="32"/>
          <w:szCs w:val="32"/>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Cs/>
          <w:sz w:val="24"/>
        </w:rPr>
      </w:pPr>
      <w:r>
        <w:rPr>
          <w:rFonts w:hint="default" w:ascii="Times New Roman" w:hAnsi="Times New Roman" w:eastAsia="黑体" w:cs="Times New Roman"/>
          <w:sz w:val="32"/>
          <w:szCs w:val="32"/>
          <w:highlight w:val="none"/>
        </w:rPr>
        <w:t>部门基本情况</w:t>
      </w:r>
    </w:p>
    <w:p>
      <w:pPr>
        <w:spacing w:line="480" w:lineRule="exact"/>
        <w:ind w:firstLine="640" w:firstLineChars="200"/>
        <w:rPr>
          <w:rFonts w:hint="eastAsia" w:ascii="仿宋_GB2312" w:hAnsi="宋体" w:eastAsia="仿宋_GB2312" w:cs="仿宋"/>
          <w:bCs/>
          <w:sz w:val="32"/>
          <w:szCs w:val="32"/>
        </w:rPr>
      </w:pPr>
      <w:r>
        <w:rPr>
          <w:rFonts w:hint="eastAsia" w:ascii="仿宋_GB2312" w:hAnsi="宋体" w:eastAsia="仿宋_GB2312" w:cs="仿宋"/>
          <w:bCs/>
          <w:sz w:val="32"/>
          <w:szCs w:val="32"/>
        </w:rPr>
        <w:t>本单位是区财政金额预算拨款单位，是我区贯彻落实执行国家、省、市有关内外贸易、国际经济合作、现代粮食流通产业的发展战略、方针、政策的职能部门，主要职责是研究提出企业商贸和粮食流通体制改革、粮食宏观调控总量平衡以及粮食流通收储、动用区级储备粮的建成、培育发展城市市场、推动流通产业结构和连锁经营、物流配送、电子商务等现代流通方式。现有人数3</w:t>
      </w:r>
      <w:r>
        <w:rPr>
          <w:rFonts w:hint="eastAsia" w:ascii="仿宋_GB2312" w:hAnsi="宋体" w:eastAsia="仿宋_GB2312" w:cs="仿宋"/>
          <w:bCs/>
          <w:sz w:val="32"/>
          <w:szCs w:val="32"/>
          <w:lang w:val="en-US" w:eastAsia="zh-CN"/>
        </w:rPr>
        <w:t>0</w:t>
      </w:r>
      <w:r>
        <w:rPr>
          <w:rFonts w:hint="eastAsia" w:ascii="仿宋_GB2312" w:hAnsi="宋体" w:eastAsia="仿宋_GB2312" w:cs="仿宋"/>
          <w:bCs/>
          <w:sz w:val="32"/>
          <w:szCs w:val="32"/>
        </w:rPr>
        <w:t>人，其中：在职2</w:t>
      </w:r>
      <w:r>
        <w:rPr>
          <w:rFonts w:hint="eastAsia" w:ascii="仿宋_GB2312" w:hAnsi="宋体" w:eastAsia="仿宋_GB2312" w:cs="仿宋"/>
          <w:bCs/>
          <w:sz w:val="32"/>
          <w:szCs w:val="32"/>
          <w:lang w:val="en-US" w:eastAsia="zh-CN"/>
        </w:rPr>
        <w:t>0</w:t>
      </w:r>
      <w:r>
        <w:rPr>
          <w:rFonts w:hint="eastAsia" w:ascii="仿宋_GB2312" w:hAnsi="宋体" w:eastAsia="仿宋_GB2312" w:cs="仿宋"/>
          <w:bCs/>
          <w:sz w:val="32"/>
          <w:szCs w:val="32"/>
        </w:rPr>
        <w:t>人、退休1</w:t>
      </w:r>
      <w:r>
        <w:rPr>
          <w:rFonts w:hint="eastAsia" w:ascii="仿宋_GB2312" w:hAnsi="宋体" w:eastAsia="仿宋_GB2312" w:cs="仿宋"/>
          <w:bCs/>
          <w:sz w:val="32"/>
          <w:szCs w:val="32"/>
          <w:lang w:val="en-US" w:eastAsia="zh-CN"/>
        </w:rPr>
        <w:t>0</w:t>
      </w:r>
      <w:r>
        <w:rPr>
          <w:rFonts w:hint="eastAsia" w:ascii="仿宋_GB2312" w:hAnsi="宋体" w:eastAsia="仿宋_GB2312" w:cs="仿宋"/>
          <w:bCs/>
          <w:sz w:val="32"/>
          <w:szCs w:val="32"/>
        </w:rPr>
        <w:t>人。</w:t>
      </w:r>
    </w:p>
    <w:p>
      <w:pPr>
        <w:spacing w:line="480" w:lineRule="exact"/>
        <w:ind w:firstLine="640" w:firstLineChars="200"/>
        <w:rPr>
          <w:rFonts w:hint="default" w:ascii="Times New Roman" w:hAnsi="Times New Roman" w:eastAsia="黑体" w:cs="Times New Roman"/>
          <w:sz w:val="32"/>
          <w:szCs w:val="32"/>
          <w:highlight w:val="none"/>
          <w:lang w:val="en-US" w:eastAsia="zh-CN"/>
        </w:rPr>
      </w:pPr>
      <w:r>
        <w:rPr>
          <w:rFonts w:hint="eastAsia" w:ascii="仿宋_GB2312" w:hAnsi="宋体" w:eastAsia="仿宋_GB2312" w:cs="仿宋"/>
          <w:bCs/>
          <w:sz w:val="32"/>
          <w:szCs w:val="32"/>
        </w:rPr>
        <w:t>根据《岳阳市君山区商务粮食局职责和机构编制调整方案》（君办【2019】17号），我局设办公室（加挂政工人事股）、财务审计股、法规监督信访股、粮食和物资储备股、内贸服务股、外贸服务股（加挂电子商务股）、成品油管理股共7个业务股室。</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spacing w:line="480" w:lineRule="exact"/>
        <w:ind w:firstLine="640" w:firstLineChars="200"/>
        <w:rPr>
          <w:rFonts w:hint="default" w:ascii="Times New Roman" w:hAnsi="Times New Roman" w:eastAsia="楷体_GB2312" w:cs="Times New Roman"/>
          <w:b/>
          <w:sz w:val="32"/>
          <w:szCs w:val="32"/>
          <w:highlight w:val="none"/>
        </w:rPr>
      </w:pPr>
      <w:r>
        <w:rPr>
          <w:rFonts w:hint="eastAsia" w:ascii="仿宋_GB2312" w:hAnsi="宋体" w:eastAsia="仿宋_GB2312" w:cs="仿宋"/>
          <w:bCs/>
          <w:color w:val="auto"/>
          <w:sz w:val="32"/>
          <w:szCs w:val="32"/>
          <w:highlight w:val="none"/>
        </w:rPr>
        <w:t>202</w:t>
      </w:r>
      <w:r>
        <w:rPr>
          <w:rFonts w:hint="eastAsia" w:ascii="仿宋_GB2312" w:hAnsi="宋体" w:eastAsia="仿宋_GB2312" w:cs="仿宋"/>
          <w:bCs/>
          <w:color w:val="auto"/>
          <w:sz w:val="32"/>
          <w:szCs w:val="32"/>
          <w:highlight w:val="none"/>
          <w:lang w:val="en-US" w:eastAsia="zh-CN"/>
        </w:rPr>
        <w:t>3</w:t>
      </w:r>
      <w:r>
        <w:rPr>
          <w:rFonts w:hint="eastAsia" w:ascii="仿宋_GB2312" w:hAnsi="宋体" w:eastAsia="仿宋_GB2312" w:cs="仿宋"/>
          <w:bCs/>
          <w:color w:val="auto"/>
          <w:sz w:val="32"/>
          <w:szCs w:val="32"/>
          <w:highlight w:val="none"/>
        </w:rPr>
        <w:t>年度本部门基本支出</w:t>
      </w:r>
      <w:r>
        <w:rPr>
          <w:rFonts w:hint="eastAsia" w:ascii="仿宋_GB2312" w:hAnsi="仿宋_GB2312" w:eastAsia="仿宋_GB2312" w:cs="仿宋_GB2312"/>
          <w:color w:val="000000"/>
          <w:sz w:val="32"/>
          <w:szCs w:val="32"/>
          <w:highlight w:val="none"/>
          <w:lang w:val="en-US" w:eastAsia="zh-CN"/>
        </w:rPr>
        <w:t>638.54</w:t>
      </w:r>
      <w:r>
        <w:rPr>
          <w:rFonts w:hint="eastAsia" w:ascii="仿宋_GB2312" w:hAnsi="宋体" w:eastAsia="仿宋_GB2312" w:cs="仿宋"/>
          <w:bCs/>
          <w:color w:val="auto"/>
          <w:sz w:val="32"/>
          <w:szCs w:val="32"/>
          <w:highlight w:val="none"/>
        </w:rPr>
        <w:t>万元，主要用于发放行政人员、事业人员工资及津补贴，支付机关退休人员生活补贴等</w:t>
      </w:r>
      <w:r>
        <w:rPr>
          <w:rFonts w:hint="eastAsia" w:ascii="仿宋_GB2312" w:hAnsi="宋体" w:eastAsia="仿宋_GB2312" w:cs="仿宋"/>
          <w:bCs/>
          <w:color w:val="auto"/>
          <w:sz w:val="32"/>
          <w:szCs w:val="32"/>
          <w:highlight w:val="none"/>
          <w:lang w:val="en-US" w:eastAsia="zh-CN"/>
        </w:rPr>
        <w:t>以及</w:t>
      </w:r>
      <w:r>
        <w:rPr>
          <w:rFonts w:hint="eastAsia" w:ascii="仿宋_GB2312" w:hAnsi="宋体" w:eastAsia="仿宋_GB2312" w:cs="仿宋"/>
          <w:bCs/>
          <w:color w:val="auto"/>
          <w:sz w:val="32"/>
          <w:szCs w:val="32"/>
          <w:highlight w:val="none"/>
        </w:rPr>
        <w:t>保障机关正常运转所需开支的办公费、差旅费、招待费、水电费等。</w:t>
      </w:r>
    </w:p>
    <w:p>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Cs/>
          <w:color w:val="auto"/>
          <w:sz w:val="24"/>
          <w:highlight w:val="none"/>
        </w:rPr>
      </w:pPr>
      <w:r>
        <w:rPr>
          <w:rFonts w:hint="default" w:ascii="Times New Roman" w:hAnsi="Times New Roman" w:eastAsia="楷体_GB2312" w:cs="Times New Roman"/>
          <w:b/>
          <w:sz w:val="32"/>
          <w:szCs w:val="32"/>
          <w:highlight w:val="none"/>
        </w:rPr>
        <w:t>项目支出情况</w:t>
      </w:r>
    </w:p>
    <w:p>
      <w:pPr>
        <w:spacing w:line="480" w:lineRule="exact"/>
        <w:ind w:firstLine="640" w:firstLineChars="200"/>
        <w:rPr>
          <w:rFonts w:hint="default" w:ascii="Times New Roman" w:hAnsi="Times New Roman" w:eastAsia="楷体_GB2312" w:cs="Times New Roman"/>
          <w:b/>
          <w:sz w:val="32"/>
          <w:szCs w:val="32"/>
          <w:highlight w:val="none"/>
        </w:rPr>
      </w:pPr>
      <w:r>
        <w:rPr>
          <w:rFonts w:hint="eastAsia" w:ascii="仿宋_GB2312" w:hAnsi="宋体" w:eastAsia="仿宋_GB2312" w:cs="仿宋"/>
          <w:bCs/>
          <w:color w:val="auto"/>
          <w:sz w:val="32"/>
          <w:szCs w:val="32"/>
          <w:highlight w:val="none"/>
        </w:rPr>
        <w:t>局机关项目支出</w:t>
      </w:r>
      <w:r>
        <w:rPr>
          <w:rFonts w:hint="eastAsia" w:ascii="仿宋_GB2312" w:hAnsi="仿宋_GB2312" w:eastAsia="仿宋_GB2312" w:cs="仿宋_GB2312"/>
          <w:color w:val="000000"/>
          <w:sz w:val="32"/>
          <w:szCs w:val="32"/>
          <w:highlight w:val="none"/>
          <w:lang w:val="en-US" w:eastAsia="zh-CN"/>
        </w:rPr>
        <w:t>1589.54</w:t>
      </w:r>
      <w:r>
        <w:rPr>
          <w:rFonts w:hint="eastAsia" w:ascii="仿宋_GB2312" w:hAnsi="宋体" w:eastAsia="仿宋_GB2312" w:cs="仿宋"/>
          <w:bCs/>
          <w:color w:val="auto"/>
          <w:sz w:val="32"/>
          <w:szCs w:val="32"/>
          <w:highlight w:val="none"/>
        </w:rPr>
        <w:t>万元，主要用</w:t>
      </w:r>
      <w:r>
        <w:rPr>
          <w:rFonts w:hint="eastAsia" w:ascii="仿宋_GB2312" w:hAnsi="宋体" w:eastAsia="仿宋_GB2312" w:cs="仿宋"/>
          <w:bCs/>
          <w:color w:val="auto"/>
          <w:sz w:val="32"/>
          <w:szCs w:val="32"/>
          <w:highlight w:val="none"/>
          <w:lang w:val="en-US" w:eastAsia="zh-CN"/>
        </w:rPr>
        <w:t>于粮油物资储备支出180.08万、军民融合项目341.98万、市场提质改造736.59万、商贸支出330.89万元</w:t>
      </w:r>
      <w:r>
        <w:rPr>
          <w:rFonts w:hint="eastAsia" w:ascii="仿宋_GB2312" w:hAnsi="宋体" w:eastAsia="仿宋_GB2312" w:cs="仿宋"/>
          <w:bCs/>
          <w:color w:val="auto"/>
          <w:sz w:val="32"/>
          <w:szCs w:val="32"/>
          <w:highlight w:val="none"/>
        </w:rPr>
        <w:t>。</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无</w:t>
      </w:r>
    </w:p>
    <w:p>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无</w:t>
      </w:r>
    </w:p>
    <w:p>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w:t>
      </w:r>
      <w:r>
        <w:rPr>
          <w:rFonts w:hint="default" w:ascii="Times New Roman" w:hAnsi="Times New Roman" w:eastAsia="黑体" w:cs="Times New Roman"/>
          <w:sz w:val="32"/>
          <w:szCs w:val="32"/>
          <w:highlight w:val="none"/>
        </w:rPr>
        <w:t>部门整体支出绩效情况</w:t>
      </w:r>
    </w:p>
    <w:p>
      <w:pPr>
        <w:spacing w:line="589"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大力促进消费提质扩容。精心策划组织了2023年农产品年货展销会、油菜花节美食展、美食展、优特产品展、商粮之夜等促消费活动。释放政策红利促销</w:t>
      </w:r>
      <w:r>
        <w:rPr>
          <w:rFonts w:hint="eastAsia" w:ascii="仿宋_GB2312" w:eastAsia="仿宋_GB2312"/>
          <w:sz w:val="32"/>
          <w:szCs w:val="32"/>
          <w:lang w:eastAsia="zh-CN"/>
        </w:rPr>
        <w:t>，</w:t>
      </w:r>
      <w:r>
        <w:rPr>
          <w:rFonts w:hint="eastAsia" w:ascii="仿宋_GB2312" w:eastAsia="仿宋_GB2312"/>
          <w:sz w:val="32"/>
          <w:szCs w:val="32"/>
        </w:rPr>
        <w:t>通过手机微信、君山在线等多媒体宣传，配合市商务局开展汽车、家电等大宗消费系列促消费活动和消费券发放活动。开展消费帮扶。在电商创业园建立消费帮扶食堂食材展示中心，展示我区芥菜、大米、莲子、蛋类等优质农特产品。</w:t>
      </w:r>
    </w:p>
    <w:p>
      <w:pPr>
        <w:spacing w:line="589"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.壮大外向型经济主体。2023年，我区外贸业绩企业10家，备案企业54家。</w:t>
      </w:r>
      <w:r>
        <w:rPr>
          <w:rFonts w:hint="eastAsia" w:ascii="仿宋_GB2312" w:eastAsia="仿宋_GB2312"/>
          <w:sz w:val="32"/>
          <w:szCs w:val="32"/>
          <w:lang w:val="en-US" w:eastAsia="zh-CN"/>
        </w:rPr>
        <w:t>今年以来，我局</w:t>
      </w:r>
      <w:r>
        <w:rPr>
          <w:rFonts w:hint="eastAsia" w:ascii="仿宋_GB2312" w:eastAsia="仿宋_GB2312"/>
          <w:sz w:val="32"/>
          <w:szCs w:val="32"/>
        </w:rPr>
        <w:t>多次上门到企业进行调研和指导，鼓励企业自行进出口，帮助企业从代理进出口变为自主进出口。</w:t>
      </w:r>
      <w:r>
        <w:rPr>
          <w:rFonts w:hint="eastAsia" w:ascii="仿宋_GB2312" w:eastAsia="仿宋_GB2312"/>
          <w:sz w:val="32"/>
          <w:szCs w:val="32"/>
          <w:lang w:val="en-US" w:eastAsia="zh-CN"/>
        </w:rPr>
        <w:t>针对</w:t>
      </w:r>
      <w:r>
        <w:rPr>
          <w:rFonts w:hint="eastAsia" w:ascii="仿宋_GB2312" w:eastAsia="仿宋_GB2312"/>
          <w:sz w:val="32"/>
          <w:szCs w:val="32"/>
        </w:rPr>
        <w:t>我区</w:t>
      </w:r>
      <w:r>
        <w:rPr>
          <w:rFonts w:hint="eastAsia" w:ascii="仿宋_GB2312" w:eastAsia="仿宋_GB2312"/>
          <w:sz w:val="32"/>
          <w:szCs w:val="32"/>
          <w:lang w:val="en-US" w:eastAsia="zh-CN"/>
        </w:rPr>
        <w:t>仅有的</w:t>
      </w:r>
      <w:r>
        <w:rPr>
          <w:rFonts w:hint="eastAsia" w:ascii="仿宋_GB2312" w:eastAsia="仿宋_GB2312"/>
          <w:sz w:val="32"/>
          <w:szCs w:val="32"/>
        </w:rPr>
        <w:t>2家外资企业，邀请企业老总来我局参加分管副区长组织的座谈会，积极向企业宣传国家和省市的外商投资相关政策，持续协助企业申报资金扶持、落地服务、贷款贴息、融资担保和费用减免等优惠政策。</w:t>
      </w:r>
      <w:r>
        <w:rPr>
          <w:rFonts w:hint="eastAsia" w:ascii="仿宋_GB2312" w:eastAsia="仿宋_GB2312"/>
          <w:sz w:val="32"/>
          <w:szCs w:val="32"/>
          <w:lang w:val="en-US" w:eastAsia="zh-CN"/>
        </w:rPr>
        <w:t>7月28日</w:t>
      </w:r>
      <w:r>
        <w:rPr>
          <w:rFonts w:hint="eastAsia" w:ascii="仿宋_GB2312" w:eastAsia="仿宋_GB2312"/>
          <w:sz w:val="32"/>
          <w:szCs w:val="32"/>
        </w:rPr>
        <w:t>，组织企业参加由我局主办的君山区跨境</w:t>
      </w:r>
      <w:r>
        <w:rPr>
          <w:rFonts w:hint="eastAsia" w:ascii="仿宋_GB2312" w:eastAsia="仿宋_GB2312"/>
          <w:sz w:val="32"/>
          <w:szCs w:val="32"/>
          <w:lang w:val="en-US" w:eastAsia="zh-CN"/>
        </w:rPr>
        <w:t>电子商务</w:t>
      </w:r>
      <w:r>
        <w:rPr>
          <w:rFonts w:hint="eastAsia" w:ascii="仿宋_GB2312" w:eastAsia="仿宋_GB2312"/>
          <w:sz w:val="32"/>
          <w:szCs w:val="32"/>
        </w:rPr>
        <w:t>培训</w:t>
      </w:r>
      <w:r>
        <w:rPr>
          <w:rFonts w:hint="eastAsia" w:ascii="仿宋_GB2312" w:eastAsia="仿宋_GB2312"/>
          <w:sz w:val="32"/>
          <w:szCs w:val="32"/>
          <w:lang w:eastAsia="zh-CN"/>
        </w:rPr>
        <w:t>。</w:t>
      </w:r>
      <w:r>
        <w:rPr>
          <w:rFonts w:hint="eastAsia" w:ascii="仿宋_GB2312" w:eastAsia="仿宋_GB2312"/>
          <w:sz w:val="32"/>
          <w:szCs w:val="32"/>
          <w:lang w:val="en-US" w:eastAsia="zh-CN"/>
        </w:rPr>
        <w:t>8月，我局</w:t>
      </w:r>
      <w:r>
        <w:rPr>
          <w:rFonts w:hint="eastAsia" w:ascii="仿宋_GB2312" w:eastAsia="仿宋_GB2312"/>
          <w:sz w:val="32"/>
          <w:szCs w:val="32"/>
        </w:rPr>
        <w:t>重点走访家福家纺、童记三利和等外贸企业，鼓励外贸企业发展跨境电商。</w:t>
      </w:r>
    </w:p>
    <w:p>
      <w:pPr>
        <w:spacing w:line="589" w:lineRule="exact"/>
        <w:ind w:firstLine="640" w:firstLineChars="200"/>
        <w:rPr>
          <w:rFonts w:hint="eastAsia" w:ascii="仿宋_GB2312" w:eastAsia="仿宋_GB2312"/>
          <w:sz w:val="32"/>
          <w:szCs w:val="32"/>
        </w:rPr>
      </w:pPr>
      <w:r>
        <w:rPr>
          <w:rFonts w:hint="eastAsia" w:ascii="仿宋_GB2312" w:eastAsia="仿宋_GB2312"/>
          <w:sz w:val="32"/>
          <w:szCs w:val="32"/>
        </w:rPr>
        <w:t>3.培育商贸流通市场主体。2022年共成功入库5家企业，2023年第一季度入库1家企业。</w:t>
      </w:r>
      <w:r>
        <w:rPr>
          <w:rFonts w:hint="eastAsia" w:ascii="仿宋_GB2312" w:eastAsia="仿宋_GB2312"/>
          <w:sz w:val="32"/>
          <w:szCs w:val="32"/>
          <w:lang w:val="en-US" w:eastAsia="zh-CN"/>
        </w:rPr>
        <w:t>今年以来，我局</w:t>
      </w:r>
      <w:r>
        <w:rPr>
          <w:rFonts w:hint="eastAsia" w:ascii="仿宋_GB2312" w:eastAsia="仿宋_GB2312"/>
          <w:sz w:val="32"/>
          <w:szCs w:val="32"/>
        </w:rPr>
        <w:t>大力推进项目申报，以项目推进企业发展，以项目谋划推进县域商业体系建设</w:t>
      </w:r>
      <w:r>
        <w:rPr>
          <w:rFonts w:hint="eastAsia" w:ascii="仿宋_GB2312" w:eastAsia="仿宋_GB2312"/>
          <w:sz w:val="32"/>
          <w:szCs w:val="32"/>
          <w:lang w:eastAsia="zh-CN"/>
        </w:rPr>
        <w:t>，</w:t>
      </w:r>
      <w:r>
        <w:rPr>
          <w:rFonts w:hint="eastAsia" w:ascii="仿宋_GB2312" w:eastAsia="仿宋_GB2312"/>
          <w:sz w:val="32"/>
          <w:szCs w:val="32"/>
        </w:rPr>
        <w:t>今年推荐家宁城市广场等14个项目申报岳阳市生活必需品保供体系建设项目</w:t>
      </w:r>
      <w:r>
        <w:rPr>
          <w:rFonts w:hint="eastAsia" w:ascii="仿宋_GB2312" w:eastAsia="仿宋_GB2312"/>
          <w:sz w:val="32"/>
          <w:szCs w:val="32"/>
          <w:lang w:eastAsia="zh-CN"/>
        </w:rPr>
        <w:t>。</w:t>
      </w:r>
      <w:r>
        <w:rPr>
          <w:rFonts w:hint="eastAsia" w:ascii="仿宋_GB2312" w:eastAsia="仿宋_GB2312"/>
          <w:sz w:val="32"/>
          <w:szCs w:val="32"/>
        </w:rPr>
        <w:t>国泰、新洺瀚、政秋稻虾申报的农产品供应链体系建设支持项目和金盆村的农产品冷链物流体系建设项目已进入省级复核。</w:t>
      </w:r>
    </w:p>
    <w:p>
      <w:pPr>
        <w:spacing w:line="589"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4.全力保障粮食安全。高质量推进全省粮食购销领域监管信息化工作，着力构建“三湘粮仓”穿透式数字监管体系</w:t>
      </w:r>
      <w:r>
        <w:rPr>
          <w:rFonts w:hint="eastAsia" w:ascii="仿宋_GB2312" w:eastAsia="仿宋_GB2312"/>
          <w:sz w:val="32"/>
          <w:szCs w:val="32"/>
          <w:lang w:eastAsia="zh-CN"/>
        </w:rPr>
        <w:t>，</w:t>
      </w:r>
      <w:r>
        <w:rPr>
          <w:rFonts w:hint="eastAsia" w:ascii="仿宋_GB2312" w:eastAsia="仿宋_GB2312"/>
          <w:sz w:val="32"/>
          <w:szCs w:val="32"/>
        </w:rPr>
        <w:t>对区粮食购销公司高台点0.5万吨仓和湖南大农粮食米业公司0.15万吨仓进行监管信息化升级改造，2023年9月底实现了全市政策性粮食监管信息化全覆盖。扎实推进全区粮食产后服务中心建设，天佑种植专业合作社新建了粮食烘干清理中心1个，添置了循环烘干机4套,日烘干能力120吨/批，并完成了相关配套设施设备采购和维修建设</w:t>
      </w:r>
      <w:r>
        <w:rPr>
          <w:rFonts w:hint="eastAsia" w:ascii="仿宋_GB2312" w:eastAsia="仿宋_GB2312"/>
          <w:sz w:val="32"/>
          <w:szCs w:val="32"/>
          <w:lang w:eastAsia="zh-CN"/>
        </w:rPr>
        <w:t>。</w:t>
      </w:r>
    </w:p>
    <w:p>
      <w:pPr>
        <w:spacing w:line="589"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5.努力盘活闭置资产。攻坚深挖闭置资产价值，切实推动“变资产为资本，变闭置为利用”共盘活闭置资产2处，其中五一粮点拍卖600余万元。</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spacing w:line="589"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1.发展氛围不浓厚。由于我区外贸产业基础薄弱，特别是外向型企业数量不多、体量不大，进出口业绩基本都维持在几十万元的规模，大都属于微型企业，缺乏竞争力和抗风险能力。</w:t>
      </w:r>
    </w:p>
    <w:p>
      <w:pPr>
        <w:spacing w:line="589"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发展优势不明显。一是外贸结构不优。出口产品大多处于初加工阶段，产品附加值低，品牌效益不强，抵抗市场风险能力较弱。加工贸易和跨境电商都为零。进出口比重也是进口多，出口少。比如，今年1-5月进出口总额6056万，其中进口5637万，占比93%；二是外贸体量不大。虽然我区在外贸目标总量上完成得较好，但外贸体量整体不大，外贸企业偏少，真正有实绩的企业不多；三是外贸人才不足。我区外贸专业人才偏少，企业一直缺乏专业的外贸人才帮助企业拓展外贸业务，较多企业从事外贸岗位的职工大都为兼职，因此导致外贸业绩不稳定不可持续。</w:t>
      </w:r>
    </w:p>
    <w:p>
      <w:pPr>
        <w:spacing w:line="589"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3.跨区域消费分流明显。我区离市主城区仅一桥之隔，大部分公务人员也居住在城区，干部“走读”现象普遍，造成跨区域消费，导致部分消费外流。缺乏大型商贸企业的拉动。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（一）年初预算细化科目，增加预算。</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（二）充分履行政府经济管理部门职能职责。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以经济建设为中心，深化改革，优化服务，提升效率，确保国务院、省市区稳住经济大盘的决策部署和各项政策落实落地；全面完成市、区绩效和高质量发展考核指标，争取全市七区排名前二名，为君山区高质量发展做出新贡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（三）紧紧围绕政府工作安排提出的部署要求。</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把“促消费，稳步提升社零增速；扛牢粮食安全政治责任；发展电子商务，助力产业振兴；加大扶持力度，促进开放型经济发展”作为202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年工作重点抓出成效，促进粮食产业和商贸流通行业市场主体高质量发展。</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0753B"/>
    <w:multiLevelType w:val="singleLevel"/>
    <w:tmpl w:val="E710753B"/>
    <w:lvl w:ilvl="0" w:tentative="0">
      <w:start w:val="2"/>
      <w:numFmt w:val="chineseCounting"/>
      <w:suff w:val="nothing"/>
      <w:lvlText w:val="（%1）"/>
      <w:lvlJc w:val="left"/>
      <w:rPr>
        <w:rFonts w:hint="eastAsia" w:ascii="楷体" w:hAnsi="楷体" w:eastAsia="楷体" w:cs="楷体"/>
        <w:sz w:val="32"/>
        <w:szCs w:val="32"/>
      </w:rPr>
    </w:lvl>
  </w:abstractNum>
  <w:abstractNum w:abstractNumId="1">
    <w:nsid w:val="195766AF"/>
    <w:multiLevelType w:val="singleLevel"/>
    <w:tmpl w:val="195766AF"/>
    <w:lvl w:ilvl="0" w:tentative="0">
      <w:start w:val="4"/>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70BEA10D"/>
    <w:multiLevelType w:val="singleLevel"/>
    <w:tmpl w:val="70BEA10D"/>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YThhYzQyYjVkZWJlNzVhNTA1NTc4ODAwYjk0OWQifQ=="/>
  </w:docVars>
  <w:rsids>
    <w:rsidRoot w:val="59886344"/>
    <w:rsid w:val="00025BE7"/>
    <w:rsid w:val="00411CA3"/>
    <w:rsid w:val="00B5443F"/>
    <w:rsid w:val="00D91EDB"/>
    <w:rsid w:val="01CC431A"/>
    <w:rsid w:val="0211370D"/>
    <w:rsid w:val="02B726F0"/>
    <w:rsid w:val="03936CB9"/>
    <w:rsid w:val="03CE7CF1"/>
    <w:rsid w:val="061614DB"/>
    <w:rsid w:val="064F2C3F"/>
    <w:rsid w:val="06503ED2"/>
    <w:rsid w:val="074B78AB"/>
    <w:rsid w:val="076F2AA6"/>
    <w:rsid w:val="07AA45D1"/>
    <w:rsid w:val="08145EEF"/>
    <w:rsid w:val="083E11BD"/>
    <w:rsid w:val="087B5F6E"/>
    <w:rsid w:val="09F2400E"/>
    <w:rsid w:val="0A12645E"/>
    <w:rsid w:val="0B3C7C36"/>
    <w:rsid w:val="0D646FD0"/>
    <w:rsid w:val="0E910299"/>
    <w:rsid w:val="0F00541F"/>
    <w:rsid w:val="0F0F5662"/>
    <w:rsid w:val="0F51041C"/>
    <w:rsid w:val="10042CED"/>
    <w:rsid w:val="103A44D0"/>
    <w:rsid w:val="1066305F"/>
    <w:rsid w:val="118916FB"/>
    <w:rsid w:val="13D87709"/>
    <w:rsid w:val="141A488D"/>
    <w:rsid w:val="15194B44"/>
    <w:rsid w:val="15A07014"/>
    <w:rsid w:val="15EE5FD1"/>
    <w:rsid w:val="16077093"/>
    <w:rsid w:val="166167A3"/>
    <w:rsid w:val="167209B0"/>
    <w:rsid w:val="17306175"/>
    <w:rsid w:val="185540E5"/>
    <w:rsid w:val="186D58D3"/>
    <w:rsid w:val="19921369"/>
    <w:rsid w:val="199B021E"/>
    <w:rsid w:val="1A824F3A"/>
    <w:rsid w:val="1AD734D7"/>
    <w:rsid w:val="1BF260EF"/>
    <w:rsid w:val="1C454471"/>
    <w:rsid w:val="1C9C6787"/>
    <w:rsid w:val="1CB82E95"/>
    <w:rsid w:val="1CD852E5"/>
    <w:rsid w:val="1D1B344A"/>
    <w:rsid w:val="1E0D5462"/>
    <w:rsid w:val="1EA638ED"/>
    <w:rsid w:val="1EEC5078"/>
    <w:rsid w:val="1F1B2294"/>
    <w:rsid w:val="1F58270D"/>
    <w:rsid w:val="1F615A66"/>
    <w:rsid w:val="1FB45B95"/>
    <w:rsid w:val="1FC85AE5"/>
    <w:rsid w:val="21244F9D"/>
    <w:rsid w:val="21BF0821"/>
    <w:rsid w:val="21D267A7"/>
    <w:rsid w:val="21E604A4"/>
    <w:rsid w:val="22995516"/>
    <w:rsid w:val="23492A98"/>
    <w:rsid w:val="23694EE9"/>
    <w:rsid w:val="247955FF"/>
    <w:rsid w:val="254479BB"/>
    <w:rsid w:val="26FC6074"/>
    <w:rsid w:val="274A3283"/>
    <w:rsid w:val="27932534"/>
    <w:rsid w:val="27C03CC0"/>
    <w:rsid w:val="282D0BDB"/>
    <w:rsid w:val="2A622692"/>
    <w:rsid w:val="2BC5737C"/>
    <w:rsid w:val="2CDC672B"/>
    <w:rsid w:val="2D0B67E9"/>
    <w:rsid w:val="2FAA48BF"/>
    <w:rsid w:val="30033FF6"/>
    <w:rsid w:val="32326DEE"/>
    <w:rsid w:val="32CD2A10"/>
    <w:rsid w:val="32E12CEE"/>
    <w:rsid w:val="330F12CB"/>
    <w:rsid w:val="336A2CE3"/>
    <w:rsid w:val="33D22636"/>
    <w:rsid w:val="34C24459"/>
    <w:rsid w:val="351F3659"/>
    <w:rsid w:val="358839BA"/>
    <w:rsid w:val="360B5F1D"/>
    <w:rsid w:val="369B31B3"/>
    <w:rsid w:val="37AF33BA"/>
    <w:rsid w:val="37DE77FC"/>
    <w:rsid w:val="38060B00"/>
    <w:rsid w:val="3923110D"/>
    <w:rsid w:val="392E030F"/>
    <w:rsid w:val="39D72754"/>
    <w:rsid w:val="3B343BD6"/>
    <w:rsid w:val="3B81654F"/>
    <w:rsid w:val="3B862684"/>
    <w:rsid w:val="3BB865B6"/>
    <w:rsid w:val="3C2B6D87"/>
    <w:rsid w:val="3CE138EA"/>
    <w:rsid w:val="3D5A3DC8"/>
    <w:rsid w:val="3E350391"/>
    <w:rsid w:val="3F2D1069"/>
    <w:rsid w:val="41E33C60"/>
    <w:rsid w:val="4249440B"/>
    <w:rsid w:val="42562684"/>
    <w:rsid w:val="42BF022A"/>
    <w:rsid w:val="42EB54C2"/>
    <w:rsid w:val="437234EE"/>
    <w:rsid w:val="4651388E"/>
    <w:rsid w:val="46D5626E"/>
    <w:rsid w:val="47775577"/>
    <w:rsid w:val="47BD6B23"/>
    <w:rsid w:val="47F92430"/>
    <w:rsid w:val="48657AC5"/>
    <w:rsid w:val="488241D3"/>
    <w:rsid w:val="488A3088"/>
    <w:rsid w:val="48F03833"/>
    <w:rsid w:val="493279A7"/>
    <w:rsid w:val="4BA95F1B"/>
    <w:rsid w:val="4CBD494A"/>
    <w:rsid w:val="4D5A571F"/>
    <w:rsid w:val="4DB43081"/>
    <w:rsid w:val="4E2D3B07"/>
    <w:rsid w:val="4E555EE6"/>
    <w:rsid w:val="4F367AC5"/>
    <w:rsid w:val="4F4026F2"/>
    <w:rsid w:val="4F754A92"/>
    <w:rsid w:val="4FF21C3E"/>
    <w:rsid w:val="5019366F"/>
    <w:rsid w:val="51D75590"/>
    <w:rsid w:val="5212621E"/>
    <w:rsid w:val="523C52FE"/>
    <w:rsid w:val="52B256B5"/>
    <w:rsid w:val="52BB74EC"/>
    <w:rsid w:val="52BC14D4"/>
    <w:rsid w:val="54A0435F"/>
    <w:rsid w:val="55855303"/>
    <w:rsid w:val="56815ACA"/>
    <w:rsid w:val="570B1838"/>
    <w:rsid w:val="572823EA"/>
    <w:rsid w:val="57603931"/>
    <w:rsid w:val="57763155"/>
    <w:rsid w:val="57E36310"/>
    <w:rsid w:val="58A91308"/>
    <w:rsid w:val="58B32187"/>
    <w:rsid w:val="58C148A4"/>
    <w:rsid w:val="58EF1411"/>
    <w:rsid w:val="59457283"/>
    <w:rsid w:val="598707FA"/>
    <w:rsid w:val="59886344"/>
    <w:rsid w:val="5AB0697E"/>
    <w:rsid w:val="5B0942E0"/>
    <w:rsid w:val="5B9462A0"/>
    <w:rsid w:val="5BB701E0"/>
    <w:rsid w:val="5C277114"/>
    <w:rsid w:val="5CED7415"/>
    <w:rsid w:val="5CF1521F"/>
    <w:rsid w:val="5DBC388C"/>
    <w:rsid w:val="5DE352BC"/>
    <w:rsid w:val="5E0B3554"/>
    <w:rsid w:val="5E6D4B86"/>
    <w:rsid w:val="5EF37781"/>
    <w:rsid w:val="5EF77271"/>
    <w:rsid w:val="5F36141C"/>
    <w:rsid w:val="5F926F9A"/>
    <w:rsid w:val="6051650D"/>
    <w:rsid w:val="6151253D"/>
    <w:rsid w:val="622D6B06"/>
    <w:rsid w:val="62C33544"/>
    <w:rsid w:val="62CE02E9"/>
    <w:rsid w:val="6314021C"/>
    <w:rsid w:val="65C362FB"/>
    <w:rsid w:val="65F71905"/>
    <w:rsid w:val="661A0849"/>
    <w:rsid w:val="66A55805"/>
    <w:rsid w:val="66AB26EF"/>
    <w:rsid w:val="678418BE"/>
    <w:rsid w:val="67E52B9F"/>
    <w:rsid w:val="68C87588"/>
    <w:rsid w:val="68E7313A"/>
    <w:rsid w:val="69BA4DF1"/>
    <w:rsid w:val="6A8954A7"/>
    <w:rsid w:val="6AA162E3"/>
    <w:rsid w:val="6B2F7D93"/>
    <w:rsid w:val="6DDD5884"/>
    <w:rsid w:val="6DDD7632"/>
    <w:rsid w:val="6E641B01"/>
    <w:rsid w:val="6E781A51"/>
    <w:rsid w:val="706A7177"/>
    <w:rsid w:val="72824C4C"/>
    <w:rsid w:val="73667BE7"/>
    <w:rsid w:val="7447614D"/>
    <w:rsid w:val="74C50E20"/>
    <w:rsid w:val="750B717B"/>
    <w:rsid w:val="752B569A"/>
    <w:rsid w:val="77A967D7"/>
    <w:rsid w:val="77EE068E"/>
    <w:rsid w:val="77F2017E"/>
    <w:rsid w:val="78484242"/>
    <w:rsid w:val="78B60AD2"/>
    <w:rsid w:val="791A5BDE"/>
    <w:rsid w:val="79254583"/>
    <w:rsid w:val="7A684727"/>
    <w:rsid w:val="7AFF0904"/>
    <w:rsid w:val="7B845591"/>
    <w:rsid w:val="7C09018C"/>
    <w:rsid w:val="7C662EE9"/>
    <w:rsid w:val="7CBB3234"/>
    <w:rsid w:val="7E1846B6"/>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dcterms:modified xsi:type="dcterms:W3CDTF">2024-06-24T08:41:44Z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6182D3A10D564617983F46DEE354AEAF</vt:lpwstr>
  </property>
</Properties>
</file>