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2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1.7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42.64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43.11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2、运行维护经费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10.8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16.18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16.18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10.8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16.18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szCs w:val="20"/>
                <w:highlight w:val="none"/>
                <w:lang w:val="en-US" w:eastAsia="zh-CN"/>
              </w:rPr>
              <w:t>16.18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FF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2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34"/>
        <w:gridCol w:w="1486"/>
        <w:gridCol w:w="1095"/>
        <w:gridCol w:w="1269"/>
        <w:gridCol w:w="716"/>
        <w:gridCol w:w="873"/>
        <w:gridCol w:w="144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89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岳阳市君山区总工会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1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215.66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269.19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269.19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269.19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226.08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43.11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3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9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新建工会组织1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家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2：发展工会新会员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00人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3：困难职工帮扶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00人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4：基层工会干部及企业职工培训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00人次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5：对基层财务提出审计意见50条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6：开展基层工会调研、检查活动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次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30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新建工会组织1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家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2：发展工会新会员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0人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3：困难职工帮扶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0人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4：基层工会干部及企业职工培训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15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0人次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5：对基层财务提出审计意见50条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6：开展基层工会调研、检查活动10次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产出指标（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50分）</w:t>
            </w:r>
          </w:p>
        </w:tc>
        <w:tc>
          <w:tcPr>
            <w:tcW w:w="1034" w:type="dxa"/>
            <w:vMerge w:val="restart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数量指标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新建工会组织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10家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12家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基层工会干部及企业职工培训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100人次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150人次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对基层财务提出审计意见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50条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50条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发展工会新会员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100人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120人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困难职工帮扶流程合规率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新建工会组织流程合规率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审计意见整改率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项目完成及时率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工作完成及时率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控制预算年度内整体支出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tabs>
                <w:tab w:val="center" w:pos="547"/>
              </w:tabs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269.19万元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269.19万元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维护社会稳定性、间接促进经济发展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职工对工会的认同感和归属感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增强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增强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困难职工帮扶政策</w:t>
            </w:r>
          </w:p>
        </w:tc>
        <w:tc>
          <w:tcPr>
            <w:tcW w:w="10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长期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长期</w:t>
            </w:r>
          </w:p>
        </w:tc>
        <w:tc>
          <w:tcPr>
            <w:tcW w:w="7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3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工会工作社会公众满意度</w:t>
            </w: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96%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tabs>
                <w:tab w:val="left" w:pos="348"/>
              </w:tabs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34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04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zNjQ3ODliNzQ1NDIzN2ZjNTZhYmNiY2I5Y2FlMmMifQ=="/>
  </w:docVars>
  <w:rsids>
    <w:rsidRoot w:val="5BFD2F76"/>
    <w:rsid w:val="5BFD2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2024-06-27T08:00:00Z</dcterms:created>
  <dc:creator>尹斌</dc:creator>
  <cp:lastModifiedBy>尹斌</cp:lastModifiedBy>
  <dcterms:modified xsi:type="dcterms:W3CDTF">2024-06-27T08:00:54Z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E9F9B1A6CE184D128B76176CD07C3428_11</vt:lpwstr>
  </property>
</Properties>
</file>