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600" w:lineRule="exact"/>
        <w:ind w:firstLine="1320" w:firstLineChars="300"/>
        <w:jc w:val="left"/>
        <w:rPr>
          <w:rFonts w:hint="eastAsia" w:ascii="方正小标宋简体" w:hAnsi="方正小标宋简体" w:eastAsia="方正小标宋简体" w:cs="方正小标宋简体"/>
          <w:sz w:val="44"/>
          <w:szCs w:val="44"/>
          <w:highlight w:val="none"/>
          <w:lang w:eastAsia="zh-CN"/>
        </w:rPr>
      </w:pPr>
      <w:bookmarkStart w:id="0" w:name="_GoBack"/>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eastAsia="zh-CN"/>
        </w:rPr>
        <w:t>岳阳市君山区统计局</w:t>
      </w: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整体支出绩效自评报告</w:t>
      </w:r>
      <w:bookmarkEnd w:id="0"/>
    </w:p>
    <w:p>
      <w:pPr>
        <w:jc w:val="center"/>
        <w:rPr>
          <w:rFonts w:hint="default" w:ascii="Times New Roman" w:hAnsi="Times New Roman" w:eastAsia="方正小标宋_GBK" w:cs="Times New Roman"/>
          <w:b/>
          <w:sz w:val="52"/>
          <w:szCs w:val="5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both"/>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spacing w:line="600" w:lineRule="exact"/>
        <w:jc w:val="center"/>
        <w:rPr>
          <w:rFonts w:hint="default" w:ascii="Times New Roman" w:hAnsi="Times New Roman" w:eastAsia="仿宋_GB2312" w:cs="Times New Roman"/>
          <w:sz w:val="32"/>
          <w:szCs w:val="32"/>
          <w:highlight w:val="none"/>
          <w:u w:val="single"/>
        </w:rPr>
      </w:pPr>
      <w:r>
        <w:rPr>
          <w:rFonts w:hint="default" w:ascii="Times New Roman" w:hAnsi="Times New Roman" w:eastAsia="仿宋_GB2312" w:cs="Times New Roman"/>
          <w:sz w:val="32"/>
          <w:szCs w:val="32"/>
          <w:highlight w:val="none"/>
        </w:rPr>
        <w:t>部门（单位）名称：</w:t>
      </w:r>
      <w:r>
        <w:rPr>
          <w:rFonts w:hint="default" w:ascii="Times New Roman" w:hAnsi="Times New Roman" w:eastAsia="仿宋_GB2312" w:cs="Times New Roman"/>
          <w:sz w:val="32"/>
          <w:szCs w:val="32"/>
          <w:highlight w:val="none"/>
          <w:u w:val="single"/>
        </w:rPr>
        <w:t>（盖章）</w:t>
      </w:r>
    </w:p>
    <w:p>
      <w:pPr>
        <w:spacing w:line="600" w:lineRule="exact"/>
        <w:jc w:val="center"/>
        <w:rPr>
          <w:rFonts w:hint="default" w:ascii="Times New Roman" w:hAnsi="Times New Roman" w:eastAsia="楷体_GB2312" w:cs="Times New Roman"/>
          <w:sz w:val="32"/>
          <w:szCs w:val="32"/>
          <w:highlight w:val="none"/>
        </w:rPr>
      </w:pPr>
      <w:r>
        <w:rPr>
          <w:rFonts w:hint="eastAsia" w:ascii="Times New Roman" w:hAnsi="Times New Roman" w:eastAsia="楷体_GB2312" w:cs="Times New Roman"/>
          <w:sz w:val="32"/>
          <w:szCs w:val="32"/>
          <w:highlight w:val="none"/>
          <w:lang w:val="en-US" w:eastAsia="zh-CN"/>
        </w:rPr>
        <w:t>2024</w:t>
      </w:r>
      <w:r>
        <w:rPr>
          <w:rFonts w:hint="default" w:ascii="Times New Roman" w:hAnsi="Times New Roman" w:eastAsia="楷体_GB2312" w:cs="Times New Roman"/>
          <w:sz w:val="32"/>
          <w:szCs w:val="32"/>
          <w:highlight w:val="none"/>
        </w:rPr>
        <w:t>年</w:t>
      </w:r>
      <w:r>
        <w:rPr>
          <w:rFonts w:hint="eastAsia" w:ascii="Times New Roman" w:hAnsi="Times New Roman" w:eastAsia="楷体_GB2312" w:cs="Times New Roman"/>
          <w:sz w:val="32"/>
          <w:szCs w:val="32"/>
          <w:highlight w:val="none"/>
          <w:lang w:val="en-US" w:eastAsia="zh-CN"/>
        </w:rPr>
        <w:t>6月22</w:t>
      </w:r>
      <w:r>
        <w:rPr>
          <w:rFonts w:hint="default" w:ascii="Times New Roman" w:hAnsi="Times New Roman" w:eastAsia="楷体_GB2312" w:cs="Times New Roman"/>
          <w:sz w:val="32"/>
          <w:szCs w:val="32"/>
          <w:highlight w:val="none"/>
        </w:rPr>
        <w:t>日</w:t>
      </w:r>
    </w:p>
    <w:p>
      <w:pPr>
        <w:jc w:val="cente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（此页为封面）</w:t>
      </w:r>
    </w:p>
    <w:p>
      <w:pPr>
        <w:jc w:val="center"/>
        <w:rPr>
          <w:rFonts w:hint="eastAsia" w:ascii="方正小标宋简体" w:hAnsi="方正小标宋简体" w:eastAsia="方正小标宋简体" w:cs="方正小标宋简体"/>
          <w:sz w:val="44"/>
          <w:szCs w:val="44"/>
          <w:highlight w:val="none"/>
          <w:lang w:eastAsia="zh-CN"/>
        </w:rPr>
      </w:pPr>
      <w:r>
        <w:rPr>
          <w:rFonts w:hint="default" w:ascii="Times New Roman" w:hAnsi="Times New Roman" w:eastAsia="仿宋_GB2312" w:cs="Times New Roman"/>
          <w:sz w:val="32"/>
          <w:szCs w:val="32"/>
          <w:highlight w:val="none"/>
        </w:rPr>
        <w:br w:type="page"/>
      </w: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eastAsia="zh-CN"/>
        </w:rPr>
        <w:t>岳阳市君山区统计局</w:t>
      </w: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整体支出绩效自评报告</w:t>
      </w:r>
    </w:p>
    <w:p>
      <w:pPr>
        <w:numPr>
          <w:ilvl w:val="0"/>
          <w:numId w:val="0"/>
        </w:numPr>
        <w:pBdr>
          <w:top w:val="none" w:color="auto" w:sz="0" w:space="1"/>
          <w:left w:val="none" w:color="auto" w:sz="0" w:space="4"/>
          <w:bottom w:val="none" w:color="auto" w:sz="0" w:space="1"/>
          <w:right w:val="none" w:color="auto" w:sz="0" w:space="4"/>
        </w:pBdr>
        <w:spacing w:line="560" w:lineRule="exact"/>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一、</w:t>
      </w:r>
      <w:r>
        <w:rPr>
          <w:rFonts w:hint="default" w:ascii="Times New Roman" w:hAnsi="Times New Roman" w:eastAsia="黑体" w:cs="Times New Roman"/>
          <w:sz w:val="32"/>
          <w:szCs w:val="32"/>
          <w:highlight w:val="none"/>
        </w:rPr>
        <w:t>部门（单位）基本情况</w:t>
      </w:r>
    </w:p>
    <w:p>
      <w:pPr>
        <w:pBdr>
          <w:top w:val="none" w:color="auto" w:sz="0" w:space="1"/>
          <w:left w:val="none" w:color="auto" w:sz="0" w:space="4"/>
          <w:bottom w:val="none" w:color="auto" w:sz="0" w:space="1"/>
          <w:right w:val="none" w:color="auto" w:sz="0" w:space="4"/>
        </w:pBdr>
        <w:spacing w:line="560" w:lineRule="exact"/>
        <w:rPr>
          <w:rFonts w:hint="eastAsia" w:ascii="仿宋_GB2312" w:hAnsi="仿宋_GB2312" w:eastAsia="仿宋_GB2312" w:cs="仿宋_GB2312"/>
          <w:b/>
          <w:bCs w:val="0"/>
          <w:sz w:val="32"/>
          <w:szCs w:val="32"/>
        </w:rPr>
      </w:pPr>
      <w:r>
        <w:rPr>
          <w:rFonts w:hint="default" w:ascii="Times New Roman" w:hAnsi="Times New Roman" w:eastAsia="楷体_GB2312" w:cs="Times New Roman"/>
          <w:b/>
          <w:sz w:val="32"/>
          <w:szCs w:val="32"/>
          <w:highlight w:val="none"/>
        </w:rPr>
        <w:t>（一）</w:t>
      </w:r>
      <w:r>
        <w:rPr>
          <w:rFonts w:hint="eastAsia" w:ascii="仿宋_GB2312" w:hAnsi="仿宋_GB2312" w:eastAsia="仿宋_GB2312" w:cs="仿宋_GB2312"/>
          <w:b/>
          <w:bCs w:val="0"/>
          <w:sz w:val="32"/>
          <w:szCs w:val="32"/>
        </w:rPr>
        <w:t>、主要职能：</w:t>
      </w:r>
    </w:p>
    <w:p>
      <w:pPr>
        <w:spacing w:line="600" w:lineRule="exact"/>
        <w:ind w:firstLine="640" w:firstLineChars="200"/>
        <w:jc w:val="left"/>
        <w:rPr>
          <w:rFonts w:hint="eastAsia"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eastAsia="zh-CN"/>
        </w:rPr>
        <w:t>岳阳市君山区统计局</w:t>
      </w:r>
      <w:r>
        <w:rPr>
          <w:rFonts w:hint="eastAsia" w:ascii="Times New Roman" w:hAnsi="Times New Roman" w:eastAsia="仿宋_GB2312" w:cs="Times New Roman"/>
          <w:sz w:val="32"/>
          <w:szCs w:val="32"/>
          <w:highlight w:val="none"/>
        </w:rPr>
        <w:t>主要负责完成国家省、市区统计调查任务，承担全面小康综合考评统计、民生实事评估确认等工作，承担组织领导协调全区统计工作，组织实施本区国民经济核算制度，核算全区地方生产总值，会同有关部门拟定重大区情区力普查计划与方案，组织实施全区人口、经济、农业等重大区情区力普查，汇总、整理和提供有关区情区力方面的统计数据。加强对各街道（乡）和区直各部门统计工作的指导和综合协调。我局共设5个内设机构,共有编制数</w:t>
      </w:r>
      <w:r>
        <w:rPr>
          <w:rFonts w:hint="eastAsia" w:ascii="Times New Roman" w:hAnsi="Times New Roman" w:eastAsia="仿宋_GB2312" w:cs="Times New Roman"/>
          <w:sz w:val="32"/>
          <w:szCs w:val="32"/>
          <w:highlight w:val="none"/>
          <w:lang w:val="en-US" w:eastAsia="zh-CN"/>
        </w:rPr>
        <w:t>13</w:t>
      </w:r>
      <w:r>
        <w:rPr>
          <w:rFonts w:hint="eastAsia" w:ascii="Times New Roman" w:hAnsi="Times New Roman" w:eastAsia="仿宋_GB2312" w:cs="Times New Roman"/>
          <w:sz w:val="32"/>
          <w:szCs w:val="32"/>
          <w:highlight w:val="none"/>
        </w:rPr>
        <w:t>名，实有人数1</w:t>
      </w:r>
      <w:r>
        <w:rPr>
          <w:rFonts w:hint="eastAsia" w:ascii="Times New Roman" w:hAnsi="Times New Roman" w:eastAsia="仿宋_GB2312" w:cs="Times New Roman"/>
          <w:sz w:val="32"/>
          <w:szCs w:val="32"/>
          <w:highlight w:val="none"/>
          <w:lang w:val="en-US" w:eastAsia="zh-CN"/>
        </w:rPr>
        <w:t>6</w:t>
      </w:r>
      <w:r>
        <w:rPr>
          <w:rFonts w:hint="eastAsia" w:ascii="Times New Roman" w:hAnsi="Times New Roman" w:eastAsia="仿宋_GB2312" w:cs="Times New Roman"/>
          <w:sz w:val="32"/>
          <w:szCs w:val="32"/>
          <w:highlight w:val="none"/>
        </w:rPr>
        <w:t>人。</w:t>
      </w:r>
    </w:p>
    <w:p>
      <w:pPr>
        <w:spacing w:line="560" w:lineRule="exact"/>
        <w:rPr>
          <w:rFonts w:hint="eastAsia" w:ascii="楷体_GB2312" w:hAnsi="微软雅黑" w:eastAsia="楷体_GB2312" w:cs="楷体_GB2312"/>
          <w:b/>
          <w:bCs/>
          <w:i w:val="0"/>
          <w:iCs w:val="0"/>
          <w:caps w:val="0"/>
          <w:color w:val="000000"/>
          <w:spacing w:val="0"/>
          <w:kern w:val="0"/>
          <w:sz w:val="32"/>
          <w:szCs w:val="32"/>
          <w:shd w:val="clear" w:fill="FFFFFF"/>
          <w:lang w:val="en-US" w:eastAsia="zh-CN" w:bidi="ar"/>
        </w:rPr>
      </w:pPr>
      <w:r>
        <w:rPr>
          <w:rFonts w:hint="default" w:ascii="Times New Roman" w:hAnsi="Times New Roman" w:eastAsia="楷体_GB2312" w:cs="Times New Roman"/>
          <w:b/>
          <w:sz w:val="32"/>
          <w:szCs w:val="32"/>
          <w:highlight w:val="none"/>
        </w:rPr>
        <w:t>（</w:t>
      </w:r>
      <w:r>
        <w:rPr>
          <w:rFonts w:hint="eastAsia" w:ascii="Times New Roman" w:hAnsi="Times New Roman" w:eastAsia="楷体_GB2312" w:cs="Times New Roman"/>
          <w:b/>
          <w:sz w:val="32"/>
          <w:szCs w:val="32"/>
          <w:highlight w:val="none"/>
          <w:lang w:eastAsia="zh-CN"/>
        </w:rPr>
        <w:t>二</w:t>
      </w:r>
      <w:r>
        <w:rPr>
          <w:rFonts w:hint="default" w:ascii="Times New Roman" w:hAnsi="Times New Roman" w:eastAsia="楷体_GB2312" w:cs="Times New Roman"/>
          <w:b/>
          <w:sz w:val="32"/>
          <w:szCs w:val="32"/>
          <w:highlight w:val="none"/>
        </w:rPr>
        <w:t>）</w:t>
      </w:r>
      <w:r>
        <w:rPr>
          <w:rFonts w:hint="eastAsia" w:ascii="楷体_GB2312" w:hAnsi="微软雅黑" w:eastAsia="楷体_GB2312" w:cs="楷体_GB2312"/>
          <w:b/>
          <w:bCs/>
          <w:i w:val="0"/>
          <w:iCs w:val="0"/>
          <w:caps w:val="0"/>
          <w:color w:val="000000"/>
          <w:spacing w:val="0"/>
          <w:kern w:val="0"/>
          <w:sz w:val="32"/>
          <w:szCs w:val="32"/>
          <w:shd w:val="clear" w:fill="FFFFFF"/>
          <w:lang w:val="en-US" w:eastAsia="zh-CN" w:bidi="ar"/>
        </w:rPr>
        <w:t>、2023年度部门整体支出、使用方向、主要内容和涉及范围</w:t>
      </w:r>
    </w:p>
    <w:p>
      <w:pPr>
        <w:spacing w:line="560" w:lineRule="exact"/>
        <w:ind w:firstLine="640" w:firstLineChars="200"/>
        <w:rPr>
          <w:rFonts w:hint="eastAsia" w:ascii="Times New Roman" w:hAnsi="Times New Roman" w:eastAsia="仿宋_GB2312" w:cs="Times New Roman"/>
          <w:sz w:val="32"/>
          <w:szCs w:val="32"/>
          <w:highlight w:val="none"/>
        </w:rPr>
      </w:pPr>
      <w:r>
        <w:rPr>
          <w:rFonts w:hint="eastAsia" w:ascii="Times New Roman" w:hAnsi="Times New Roman" w:eastAsia="微软雅黑" w:cs="Times New Roman"/>
          <w:b/>
          <w:bCs/>
          <w:i w:val="0"/>
          <w:iCs w:val="0"/>
          <w:caps w:val="0"/>
          <w:color w:val="000000"/>
          <w:spacing w:val="0"/>
          <w:sz w:val="32"/>
          <w:szCs w:val="32"/>
          <w:shd w:val="clear" w:fill="FFFFFF"/>
          <w:lang w:val="en-US" w:eastAsia="zh-CN"/>
        </w:rPr>
        <w:t>1、</w:t>
      </w:r>
      <w:r>
        <w:rPr>
          <w:rFonts w:hint="default" w:ascii="Times New Roman" w:hAnsi="Times New Roman" w:eastAsia="微软雅黑" w:cs="Times New Roman"/>
          <w:b/>
          <w:bCs/>
          <w:i w:val="0"/>
          <w:iCs w:val="0"/>
          <w:caps w:val="0"/>
          <w:color w:val="000000"/>
          <w:spacing w:val="0"/>
          <w:sz w:val="32"/>
          <w:szCs w:val="32"/>
          <w:shd w:val="clear" w:fill="FFFFFF"/>
        </w:rPr>
        <w:t>2023</w:t>
      </w:r>
      <w:r>
        <w:rPr>
          <w:rFonts w:hint="eastAsia" w:ascii="仿宋_GB2312" w:hAnsi="Times New Roman" w:eastAsia="仿宋_GB2312" w:cs="仿宋_GB2312"/>
          <w:b/>
          <w:bCs/>
          <w:i w:val="0"/>
          <w:iCs w:val="0"/>
          <w:caps w:val="0"/>
          <w:color w:val="000000"/>
          <w:spacing w:val="0"/>
          <w:sz w:val="32"/>
          <w:szCs w:val="32"/>
          <w:shd w:val="clear" w:fill="FFFFFF"/>
        </w:rPr>
        <w:t>年经费整体支出情况。</w:t>
      </w:r>
      <w:r>
        <w:rPr>
          <w:rFonts w:hint="default" w:ascii="Times New Roman" w:hAnsi="Times New Roman" w:eastAsia="仿宋_GB2312" w:cs="Times New Roman"/>
          <w:sz w:val="32"/>
          <w:szCs w:val="32"/>
          <w:highlight w:val="none"/>
        </w:rPr>
        <w:t>2</w:t>
      </w:r>
      <w:r>
        <w:rPr>
          <w:rFonts w:hint="default" w:ascii="Times New Roman" w:hAnsi="Times New Roman" w:eastAsia="仿宋_GB2312" w:cs="Times New Roman"/>
          <w:sz w:val="32"/>
          <w:szCs w:val="32"/>
          <w:highlight w:val="none"/>
          <w:lang w:eastAsia="zh-CN"/>
        </w:rPr>
        <w:t>023</w:t>
      </w:r>
      <w:r>
        <w:rPr>
          <w:rFonts w:hint="eastAsia" w:ascii="Times New Roman" w:hAnsi="Times New Roman" w:eastAsia="仿宋_GB2312" w:cs="Times New Roman"/>
          <w:sz w:val="32"/>
          <w:szCs w:val="32"/>
          <w:highlight w:val="none"/>
          <w:lang w:eastAsia="zh-CN"/>
        </w:rPr>
        <w:t>年全年支出</w:t>
      </w:r>
      <w:r>
        <w:rPr>
          <w:rFonts w:hint="eastAsia" w:ascii="Times New Roman" w:hAnsi="Times New Roman" w:eastAsia="仿宋_GB2312" w:cs="Times New Roman"/>
          <w:sz w:val="32"/>
          <w:szCs w:val="32"/>
          <w:highlight w:val="none"/>
          <w:lang w:val="en-US" w:eastAsia="zh-CN"/>
        </w:rPr>
        <w:t>640.02</w:t>
      </w:r>
      <w:r>
        <w:rPr>
          <w:rFonts w:hint="eastAsia" w:ascii="Times New Roman" w:hAnsi="Times New Roman" w:eastAsia="仿宋_GB2312" w:cs="Times New Roman"/>
          <w:sz w:val="32"/>
          <w:szCs w:val="32"/>
          <w:highlight w:val="none"/>
          <w:lang w:eastAsia="zh-CN"/>
        </w:rPr>
        <w:t>万元，其中工资福利支出</w:t>
      </w:r>
      <w:r>
        <w:rPr>
          <w:rFonts w:hint="eastAsia" w:ascii="Times New Roman" w:hAnsi="Times New Roman" w:eastAsia="仿宋_GB2312" w:cs="Times New Roman"/>
          <w:sz w:val="32"/>
          <w:szCs w:val="32"/>
          <w:highlight w:val="none"/>
          <w:lang w:val="en-US" w:eastAsia="zh-CN"/>
        </w:rPr>
        <w:t>199.21</w:t>
      </w:r>
      <w:r>
        <w:rPr>
          <w:rFonts w:hint="eastAsia" w:ascii="Times New Roman" w:hAnsi="Times New Roman" w:eastAsia="仿宋_GB2312" w:cs="Times New Roman"/>
          <w:sz w:val="32"/>
          <w:szCs w:val="32"/>
          <w:highlight w:val="none"/>
          <w:lang w:eastAsia="zh-CN"/>
        </w:rPr>
        <w:t>万元；</w:t>
      </w:r>
      <w:r>
        <w:rPr>
          <w:rFonts w:hint="eastAsia" w:ascii="Times New Roman" w:hAnsi="Times New Roman" w:eastAsia="仿宋_GB2312" w:cs="Times New Roman"/>
          <w:sz w:val="32"/>
          <w:szCs w:val="32"/>
          <w:highlight w:val="none"/>
        </w:rPr>
        <w:t>商品服务支出</w:t>
      </w:r>
      <w:r>
        <w:rPr>
          <w:rFonts w:hint="eastAsia" w:ascii="Times New Roman" w:hAnsi="Times New Roman" w:eastAsia="仿宋_GB2312" w:cs="Times New Roman"/>
          <w:sz w:val="32"/>
          <w:szCs w:val="32"/>
          <w:highlight w:val="none"/>
          <w:lang w:val="en-US" w:eastAsia="zh-CN"/>
        </w:rPr>
        <w:t>440.81</w:t>
      </w:r>
      <w:r>
        <w:rPr>
          <w:rFonts w:hint="eastAsia" w:ascii="Times New Roman" w:hAnsi="Times New Roman" w:eastAsia="仿宋_GB2312" w:cs="Times New Roman"/>
          <w:sz w:val="32"/>
          <w:szCs w:val="32"/>
          <w:highlight w:val="none"/>
        </w:rPr>
        <w:t>万元。</w:t>
      </w:r>
    </w:p>
    <w:p>
      <w:pPr>
        <w:spacing w:line="560" w:lineRule="exact"/>
        <w:ind w:firstLine="640" w:firstLineChars="200"/>
        <w:rPr>
          <w:rFonts w:hint="eastAsia" w:ascii="微软雅黑" w:hAnsi="微软雅黑" w:eastAsia="微软雅黑" w:cs="微软雅黑"/>
          <w:i w:val="0"/>
          <w:iCs w:val="0"/>
          <w:caps w:val="0"/>
          <w:color w:val="333333"/>
          <w:spacing w:val="0"/>
          <w:sz w:val="24"/>
          <w:szCs w:val="24"/>
        </w:rPr>
      </w:pPr>
      <w:r>
        <w:rPr>
          <w:rFonts w:hint="eastAsia" w:ascii="Times New Roman" w:hAnsi="Times New Roman" w:eastAsia="微软雅黑" w:cs="Times New Roman"/>
          <w:b/>
          <w:bCs/>
          <w:i w:val="0"/>
          <w:iCs w:val="0"/>
          <w:caps w:val="0"/>
          <w:color w:val="000000"/>
          <w:spacing w:val="0"/>
          <w:sz w:val="32"/>
          <w:szCs w:val="32"/>
          <w:shd w:val="clear" w:fill="FFFFFF"/>
          <w:lang w:val="en-US" w:eastAsia="zh-CN"/>
        </w:rPr>
        <w:t>2、</w:t>
      </w:r>
      <w:r>
        <w:rPr>
          <w:rFonts w:hint="eastAsia" w:ascii="仿宋_GB2312" w:hAnsi="Times New Roman" w:eastAsia="仿宋_GB2312" w:cs="仿宋_GB2312"/>
          <w:b/>
          <w:bCs/>
          <w:i w:val="0"/>
          <w:iCs w:val="0"/>
          <w:caps w:val="0"/>
          <w:color w:val="000000"/>
          <w:spacing w:val="0"/>
          <w:kern w:val="0"/>
          <w:sz w:val="32"/>
          <w:szCs w:val="32"/>
          <w:shd w:val="clear" w:fill="FFFFFF"/>
          <w:lang w:val="en-US" w:eastAsia="zh-CN" w:bidi="ar"/>
        </w:rPr>
        <w:t>资金使用方向、主要内容及涉及范围。</w:t>
      </w:r>
    </w:p>
    <w:p>
      <w:pPr>
        <w:pStyle w:val="3"/>
        <w:bidi w:val="0"/>
        <w:rPr>
          <w:rFonts w:hint="eastAsia" w:ascii="Times New Roman" w:hAnsi="Times New Roman" w:eastAsia="仿宋_GB2312" w:cs="Times New Roman"/>
          <w:kern w:val="0"/>
          <w:sz w:val="32"/>
          <w:szCs w:val="32"/>
          <w:highlight w:val="none"/>
          <w:lang w:val="en-US" w:eastAsia="zh-CN" w:bidi="ar-SA"/>
        </w:rPr>
      </w:pPr>
      <w:r>
        <w:rPr>
          <w:rFonts w:hint="default" w:ascii="Times New Roman" w:hAnsi="Times New Roman" w:eastAsia="仿宋_GB2312" w:cs="Times New Roman"/>
          <w:kern w:val="0"/>
          <w:sz w:val="32"/>
          <w:szCs w:val="32"/>
          <w:highlight w:val="none"/>
          <w:lang w:val="en-US" w:eastAsia="zh-CN" w:bidi="ar-SA"/>
        </w:rPr>
        <w:t>2023</w:t>
      </w:r>
      <w:r>
        <w:rPr>
          <w:rFonts w:hint="eastAsia" w:ascii="Times New Roman" w:hAnsi="Times New Roman" w:eastAsia="仿宋_GB2312" w:cs="Times New Roman"/>
          <w:kern w:val="0"/>
          <w:sz w:val="32"/>
          <w:szCs w:val="32"/>
          <w:highlight w:val="none"/>
          <w:lang w:val="en-US" w:eastAsia="zh-CN" w:bidi="ar-SA"/>
        </w:rPr>
        <w:t>年全年支出640.02万元，基本支出为225.09万元，系保障本单位机构正常运转、完成日常工作任务而发生的各项支出，包括用于在职人员基本工资、津贴补贴等人员经费以及办公费、印刷费、水电费、会议费、办公设备购置等。其中：人员经费198.75万元，日常公用经费26.34万元。</w:t>
      </w:r>
    </w:p>
    <w:p>
      <w:pPr>
        <w:pStyle w:val="3"/>
        <w:bidi w:val="0"/>
        <w:ind w:left="0" w:leftChars="0" w:firstLine="0" w:firstLineChars="0"/>
        <w:rPr>
          <w:rFonts w:hint="eastAsia" w:ascii="微软雅黑" w:hAnsi="微软雅黑" w:eastAsia="微软雅黑" w:cs="微软雅黑"/>
          <w:i w:val="0"/>
          <w:iCs w:val="0"/>
          <w:caps w:val="0"/>
          <w:color w:val="333333"/>
          <w:spacing w:val="0"/>
          <w:sz w:val="24"/>
          <w:szCs w:val="24"/>
        </w:rPr>
      </w:pPr>
      <w:r>
        <w:rPr>
          <w:rFonts w:hint="eastAsia" w:ascii="仿宋_GB2312" w:hAnsi="微软雅黑" w:eastAsia="仿宋_GB2312" w:cs="仿宋_GB2312"/>
          <w:b/>
          <w:bCs/>
          <w:i w:val="0"/>
          <w:iCs w:val="0"/>
          <w:caps w:val="0"/>
          <w:color w:val="000000"/>
          <w:spacing w:val="0"/>
          <w:sz w:val="32"/>
          <w:szCs w:val="32"/>
          <w:shd w:val="clear" w:fill="FFFFFF"/>
          <w:lang w:val="en-US" w:eastAsia="zh-CN"/>
        </w:rPr>
        <w:t>3、</w:t>
      </w:r>
      <w:r>
        <w:rPr>
          <w:rFonts w:hint="eastAsia" w:ascii="仿宋_GB2312" w:hAnsi="Times New Roman" w:eastAsia="仿宋_GB2312" w:cs="仿宋_GB2312"/>
          <w:b/>
          <w:bCs/>
          <w:i w:val="0"/>
          <w:iCs w:val="0"/>
          <w:caps w:val="0"/>
          <w:color w:val="000000"/>
          <w:spacing w:val="0"/>
          <w:sz w:val="32"/>
          <w:szCs w:val="32"/>
          <w:shd w:val="clear" w:fill="FFFFFF"/>
        </w:rPr>
        <w:t>关于</w:t>
      </w:r>
      <w:r>
        <w:rPr>
          <w:rFonts w:hint="default" w:ascii="Times New Roman" w:hAnsi="Times New Roman" w:eastAsia="微软雅黑" w:cs="Times New Roman"/>
          <w:b/>
          <w:bCs/>
          <w:i w:val="0"/>
          <w:iCs w:val="0"/>
          <w:caps w:val="0"/>
          <w:color w:val="000000"/>
          <w:spacing w:val="0"/>
          <w:sz w:val="32"/>
          <w:szCs w:val="32"/>
          <w:shd w:val="clear" w:fill="FFFFFF"/>
        </w:rPr>
        <w:t>2023</w:t>
      </w:r>
      <w:r>
        <w:rPr>
          <w:rFonts w:hint="eastAsia" w:ascii="仿宋_GB2312" w:hAnsi="Times New Roman" w:eastAsia="仿宋_GB2312" w:cs="仿宋_GB2312"/>
          <w:b/>
          <w:bCs/>
          <w:i w:val="0"/>
          <w:iCs w:val="0"/>
          <w:caps w:val="0"/>
          <w:color w:val="000000"/>
          <w:spacing w:val="0"/>
          <w:sz w:val="32"/>
          <w:szCs w:val="32"/>
          <w:shd w:val="clear" w:fill="FFFFFF"/>
        </w:rPr>
        <w:t>年度</w:t>
      </w:r>
      <w:r>
        <w:rPr>
          <w:rFonts w:hint="default" w:ascii="Times New Roman" w:hAnsi="Times New Roman" w:eastAsia="微软雅黑" w:cs="Times New Roman"/>
          <w:b/>
          <w:bCs/>
          <w:i w:val="0"/>
          <w:iCs w:val="0"/>
          <w:caps w:val="0"/>
          <w:color w:val="000000"/>
          <w:spacing w:val="0"/>
          <w:sz w:val="32"/>
          <w:szCs w:val="32"/>
          <w:shd w:val="clear" w:fill="FFFFFF"/>
        </w:rPr>
        <w:t>“</w:t>
      </w:r>
      <w:r>
        <w:rPr>
          <w:rFonts w:hint="eastAsia" w:ascii="仿宋_GB2312" w:hAnsi="Times New Roman" w:eastAsia="仿宋_GB2312" w:cs="仿宋_GB2312"/>
          <w:b/>
          <w:bCs/>
          <w:i w:val="0"/>
          <w:iCs w:val="0"/>
          <w:caps w:val="0"/>
          <w:color w:val="000000"/>
          <w:spacing w:val="0"/>
          <w:sz w:val="32"/>
          <w:szCs w:val="32"/>
          <w:shd w:val="clear" w:fill="FFFFFF"/>
        </w:rPr>
        <w:t>三公</w:t>
      </w:r>
      <w:r>
        <w:rPr>
          <w:rFonts w:hint="default" w:ascii="Times New Roman" w:hAnsi="Times New Roman" w:eastAsia="微软雅黑" w:cs="Times New Roman"/>
          <w:b/>
          <w:bCs/>
          <w:i w:val="0"/>
          <w:iCs w:val="0"/>
          <w:caps w:val="0"/>
          <w:color w:val="000000"/>
          <w:spacing w:val="0"/>
          <w:sz w:val="32"/>
          <w:szCs w:val="32"/>
          <w:shd w:val="clear" w:fill="FFFFFF"/>
        </w:rPr>
        <w:t>”</w:t>
      </w:r>
      <w:r>
        <w:rPr>
          <w:rFonts w:hint="eastAsia" w:ascii="仿宋_GB2312" w:hAnsi="Times New Roman" w:eastAsia="仿宋_GB2312" w:cs="仿宋_GB2312"/>
          <w:b/>
          <w:bCs/>
          <w:i w:val="0"/>
          <w:iCs w:val="0"/>
          <w:caps w:val="0"/>
          <w:color w:val="000000"/>
          <w:spacing w:val="0"/>
          <w:sz w:val="32"/>
          <w:szCs w:val="32"/>
          <w:shd w:val="clear" w:fill="FFFFFF"/>
        </w:rPr>
        <w:t>经费决算情况</w:t>
      </w:r>
    </w:p>
    <w:p>
      <w:pPr>
        <w:pStyle w:val="3"/>
        <w:bidi w:val="0"/>
        <w:ind w:left="0" w:leftChars="0" w:firstLine="320" w:firstLineChars="100"/>
        <w:rPr>
          <w:rFonts w:hint="eastAsia" w:ascii="Times New Roman" w:hAnsi="Times New Roman" w:eastAsia="仿宋_GB2312" w:cs="Times New Roman"/>
          <w:kern w:val="0"/>
          <w:sz w:val="32"/>
          <w:szCs w:val="32"/>
          <w:highlight w:val="none"/>
          <w:lang w:val="en-US" w:eastAsia="zh-CN" w:bidi="ar-SA"/>
        </w:rPr>
      </w:pPr>
      <w:r>
        <w:rPr>
          <w:rFonts w:hint="eastAsia" w:ascii="仿宋_GB2312" w:hAnsi="微软雅黑" w:eastAsia="仿宋_GB2312" w:cs="仿宋_GB2312"/>
          <w:i w:val="0"/>
          <w:iCs w:val="0"/>
          <w:caps w:val="0"/>
          <w:color w:val="333333"/>
          <w:spacing w:val="0"/>
          <w:kern w:val="0"/>
          <w:sz w:val="32"/>
          <w:szCs w:val="32"/>
          <w:shd w:val="clear" w:fill="FFFFFF"/>
          <w:lang w:val="en-US" w:eastAsia="zh-CN" w:bidi="ar"/>
        </w:rPr>
        <w:t>　</w:t>
      </w:r>
      <w:r>
        <w:rPr>
          <w:rFonts w:hint="default" w:ascii="Times New Roman" w:hAnsi="Times New Roman" w:eastAsia="仿宋_GB2312" w:cs="Times New Roman"/>
          <w:kern w:val="0"/>
          <w:sz w:val="32"/>
          <w:szCs w:val="32"/>
          <w:highlight w:val="none"/>
          <w:lang w:val="en-US" w:eastAsia="zh-CN" w:bidi="ar-SA"/>
        </w:rPr>
        <w:t>2023</w:t>
      </w:r>
      <w:r>
        <w:rPr>
          <w:rFonts w:hint="eastAsia" w:ascii="Times New Roman" w:hAnsi="Times New Roman" w:eastAsia="仿宋_GB2312" w:cs="Times New Roman"/>
          <w:kern w:val="0"/>
          <w:sz w:val="32"/>
          <w:szCs w:val="32"/>
          <w:highlight w:val="none"/>
          <w:lang w:val="en-US" w:eastAsia="zh-CN" w:bidi="ar-SA"/>
        </w:rPr>
        <w:t>年</w:t>
      </w:r>
      <w:r>
        <w:rPr>
          <w:rFonts w:hint="default" w:ascii="Times New Roman" w:hAnsi="Times New Roman" w:eastAsia="仿宋_GB2312" w:cs="Times New Roman"/>
          <w:kern w:val="0"/>
          <w:sz w:val="32"/>
          <w:szCs w:val="32"/>
          <w:highlight w:val="none"/>
          <w:lang w:val="en-US" w:eastAsia="zh-CN" w:bidi="ar-SA"/>
        </w:rPr>
        <w:t>“</w:t>
      </w:r>
      <w:r>
        <w:rPr>
          <w:rFonts w:hint="eastAsia" w:ascii="Times New Roman" w:hAnsi="Times New Roman" w:eastAsia="仿宋_GB2312" w:cs="Times New Roman"/>
          <w:kern w:val="0"/>
          <w:sz w:val="32"/>
          <w:szCs w:val="32"/>
          <w:highlight w:val="none"/>
          <w:lang w:val="en-US" w:eastAsia="zh-CN" w:bidi="ar-SA"/>
        </w:rPr>
        <w:t>三公经费</w:t>
      </w:r>
      <w:r>
        <w:rPr>
          <w:rFonts w:hint="default" w:ascii="Times New Roman" w:hAnsi="Times New Roman" w:eastAsia="仿宋_GB2312" w:cs="Times New Roman"/>
          <w:kern w:val="0"/>
          <w:sz w:val="32"/>
          <w:szCs w:val="32"/>
          <w:highlight w:val="none"/>
          <w:lang w:val="en-US" w:eastAsia="zh-CN" w:bidi="ar-SA"/>
        </w:rPr>
        <w:t>”</w:t>
      </w:r>
      <w:r>
        <w:rPr>
          <w:rFonts w:hint="eastAsia" w:ascii="Times New Roman" w:hAnsi="Times New Roman" w:eastAsia="仿宋_GB2312" w:cs="Times New Roman"/>
          <w:kern w:val="0"/>
          <w:sz w:val="32"/>
          <w:szCs w:val="32"/>
          <w:highlight w:val="none"/>
          <w:lang w:val="en-US" w:eastAsia="zh-CN" w:bidi="ar-SA"/>
        </w:rPr>
        <w:t>预算1万元，其中：公务接待1万元、因公出国（境）费0万元、公务用车购置及运行费0万元。</w:t>
      </w:r>
      <w:r>
        <w:rPr>
          <w:rFonts w:hint="default" w:ascii="Times New Roman" w:hAnsi="Times New Roman" w:eastAsia="仿宋_GB2312" w:cs="Times New Roman"/>
          <w:kern w:val="0"/>
          <w:sz w:val="32"/>
          <w:szCs w:val="32"/>
          <w:highlight w:val="none"/>
          <w:lang w:val="en-US" w:eastAsia="zh-CN" w:bidi="ar-SA"/>
        </w:rPr>
        <w:t>2023</w:t>
      </w:r>
      <w:r>
        <w:rPr>
          <w:rFonts w:hint="eastAsia" w:ascii="Times New Roman" w:hAnsi="Times New Roman" w:eastAsia="仿宋_GB2312" w:cs="Times New Roman"/>
          <w:kern w:val="0"/>
          <w:sz w:val="32"/>
          <w:szCs w:val="32"/>
          <w:highlight w:val="none"/>
          <w:lang w:val="en-US" w:eastAsia="zh-CN" w:bidi="ar-SA"/>
        </w:rPr>
        <w:t>年</w:t>
      </w:r>
      <w:r>
        <w:rPr>
          <w:rFonts w:hint="default" w:ascii="Times New Roman" w:hAnsi="Times New Roman" w:eastAsia="仿宋_GB2312" w:cs="Times New Roman"/>
          <w:kern w:val="0"/>
          <w:sz w:val="32"/>
          <w:szCs w:val="32"/>
          <w:highlight w:val="none"/>
          <w:lang w:val="en-US" w:eastAsia="zh-CN" w:bidi="ar-SA"/>
        </w:rPr>
        <w:t>“</w:t>
      </w:r>
      <w:r>
        <w:rPr>
          <w:rFonts w:hint="eastAsia" w:ascii="Times New Roman" w:hAnsi="Times New Roman" w:eastAsia="仿宋_GB2312" w:cs="Times New Roman"/>
          <w:kern w:val="0"/>
          <w:sz w:val="32"/>
          <w:szCs w:val="32"/>
          <w:highlight w:val="none"/>
          <w:lang w:val="en-US" w:eastAsia="zh-CN" w:bidi="ar-SA"/>
        </w:rPr>
        <w:t>三公经费</w:t>
      </w:r>
      <w:r>
        <w:rPr>
          <w:rFonts w:hint="default" w:ascii="Times New Roman" w:hAnsi="Times New Roman" w:eastAsia="仿宋_GB2312" w:cs="Times New Roman"/>
          <w:kern w:val="0"/>
          <w:sz w:val="32"/>
          <w:szCs w:val="32"/>
          <w:highlight w:val="none"/>
          <w:lang w:val="en-US" w:eastAsia="zh-CN" w:bidi="ar-SA"/>
        </w:rPr>
        <w:t>”</w:t>
      </w:r>
      <w:r>
        <w:rPr>
          <w:rFonts w:hint="eastAsia" w:ascii="Times New Roman" w:hAnsi="Times New Roman" w:eastAsia="仿宋_GB2312" w:cs="Times New Roman"/>
          <w:kern w:val="0"/>
          <w:sz w:val="32"/>
          <w:szCs w:val="32"/>
          <w:highlight w:val="none"/>
          <w:lang w:val="en-US" w:eastAsia="zh-CN" w:bidi="ar-SA"/>
        </w:rPr>
        <w:t>实际完成0.05万元，其中：公务用车运行维护费0万元；公务接待费0.05万元，比上年减少0.54万元，减少的主要原因是本单位严格遵守中央八项规定，厉行节约的要求。进一步从严控制</w:t>
      </w:r>
      <w:r>
        <w:rPr>
          <w:rFonts w:hint="default" w:ascii="Times New Roman" w:hAnsi="Times New Roman" w:eastAsia="仿宋_GB2312" w:cs="Times New Roman"/>
          <w:kern w:val="0"/>
          <w:sz w:val="32"/>
          <w:szCs w:val="32"/>
          <w:highlight w:val="none"/>
          <w:lang w:val="en-US" w:eastAsia="zh-CN" w:bidi="ar-SA"/>
        </w:rPr>
        <w:t>“</w:t>
      </w:r>
      <w:r>
        <w:rPr>
          <w:rFonts w:hint="eastAsia" w:ascii="Times New Roman" w:hAnsi="Times New Roman" w:eastAsia="仿宋_GB2312" w:cs="Times New Roman"/>
          <w:kern w:val="0"/>
          <w:sz w:val="32"/>
          <w:szCs w:val="32"/>
          <w:highlight w:val="none"/>
          <w:lang w:val="en-US" w:eastAsia="zh-CN" w:bidi="ar-SA"/>
        </w:rPr>
        <w:t>三公</w:t>
      </w:r>
      <w:r>
        <w:rPr>
          <w:rFonts w:hint="default" w:ascii="Times New Roman" w:hAnsi="Times New Roman" w:eastAsia="仿宋_GB2312" w:cs="Times New Roman"/>
          <w:kern w:val="0"/>
          <w:sz w:val="32"/>
          <w:szCs w:val="32"/>
          <w:highlight w:val="none"/>
          <w:lang w:val="en-US" w:eastAsia="zh-CN" w:bidi="ar-SA"/>
        </w:rPr>
        <w:t>”</w:t>
      </w:r>
      <w:r>
        <w:rPr>
          <w:rFonts w:hint="eastAsia" w:ascii="Times New Roman" w:hAnsi="Times New Roman" w:eastAsia="仿宋_GB2312" w:cs="Times New Roman"/>
          <w:kern w:val="0"/>
          <w:sz w:val="32"/>
          <w:szCs w:val="32"/>
          <w:highlight w:val="none"/>
          <w:lang w:val="en-US" w:eastAsia="zh-CN" w:bidi="ar-SA"/>
        </w:rPr>
        <w:t>经费开支，全年实际支出较预算有所减少。</w:t>
      </w:r>
    </w:p>
    <w:p>
      <w:pPr>
        <w:pStyle w:val="9"/>
        <w:keepNext w:val="0"/>
        <w:keepLines w:val="0"/>
        <w:pageBreakBefore w:val="0"/>
        <w:widowControl/>
        <w:kinsoku/>
        <w:wordWrap/>
        <w:overflowPunct/>
        <w:topLinePunct w:val="0"/>
        <w:autoSpaceDE/>
        <w:autoSpaceDN/>
        <w:bidi w:val="0"/>
        <w:adjustRightInd/>
        <w:snapToGrid/>
        <w:spacing w:line="640" w:lineRule="exact"/>
        <w:ind w:left="0" w:leftChars="0" w:firstLine="0" w:firstLineChars="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二、一般公共预算支出情况</w:t>
      </w:r>
    </w:p>
    <w:p>
      <w:pPr>
        <w:spacing w:line="560" w:lineRule="exact"/>
        <w:ind w:firstLine="643" w:firstLineChars="200"/>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（一）基本支出情况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kern w:val="0"/>
          <w:sz w:val="32"/>
          <w:szCs w:val="32"/>
          <w:highlight w:val="none"/>
          <w:lang w:val="en-US" w:eastAsia="zh-CN" w:bidi="ar-SA"/>
        </w:rPr>
      </w:pPr>
      <w:r>
        <w:rPr>
          <w:rFonts w:hint="eastAsia" w:ascii="Times New Roman" w:hAnsi="Times New Roman" w:eastAsia="仿宋_GB2312" w:cs="Times New Roman"/>
          <w:kern w:val="0"/>
          <w:sz w:val="32"/>
          <w:szCs w:val="32"/>
          <w:highlight w:val="none"/>
          <w:lang w:val="en-US" w:eastAsia="zh-CN" w:bidi="ar-SA"/>
        </w:rPr>
        <w:t>基本支出用于为保障机构正常运转、完成日常工作任务而发生的支出，包括人员经费和公用经费。2023年基本支出225.09万元，其中：工资福利支出198.75万元，占基本支出的88.3%；商品和服务支出26.34万元，占基本支出的11.7%。</w:t>
      </w:r>
    </w:p>
    <w:p>
      <w:pPr>
        <w:numPr>
          <w:ilvl w:val="0"/>
          <w:numId w:val="1"/>
        </w:numPr>
        <w:spacing w:line="560" w:lineRule="exact"/>
        <w:ind w:firstLine="643" w:firstLineChars="200"/>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项目支出情况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color w:val="000000"/>
          <w:sz w:val="32"/>
          <w:szCs w:val="32"/>
          <w:highlight w:val="none"/>
        </w:rPr>
      </w:pPr>
      <w:r>
        <w:rPr>
          <w:rFonts w:hint="eastAsia" w:ascii="Times New Roman" w:hAnsi="Times New Roman" w:eastAsia="仿宋_GB2312" w:cs="Times New Roman"/>
          <w:color w:val="000000"/>
          <w:sz w:val="32"/>
          <w:szCs w:val="32"/>
          <w:highlight w:val="none"/>
        </w:rPr>
        <w:t>项目支出系我局为完成业务管理工作而发生的支出。2023年项目支出</w:t>
      </w:r>
      <w:r>
        <w:rPr>
          <w:rFonts w:hint="eastAsia" w:ascii="Times New Roman" w:hAnsi="Times New Roman" w:eastAsia="仿宋_GB2312" w:cs="Times New Roman"/>
          <w:color w:val="000000"/>
          <w:sz w:val="32"/>
          <w:szCs w:val="32"/>
          <w:highlight w:val="none"/>
          <w:lang w:val="en-US" w:eastAsia="zh-CN"/>
        </w:rPr>
        <w:t>410</w:t>
      </w:r>
      <w:r>
        <w:rPr>
          <w:rFonts w:hint="eastAsia" w:ascii="Times New Roman" w:hAnsi="Times New Roman" w:eastAsia="仿宋_GB2312" w:cs="Times New Roman"/>
          <w:color w:val="000000"/>
          <w:sz w:val="32"/>
          <w:szCs w:val="32"/>
          <w:highlight w:val="none"/>
        </w:rPr>
        <w:t>万元，</w:t>
      </w:r>
      <w:r>
        <w:rPr>
          <w:rFonts w:hint="eastAsia" w:eastAsia="仿宋_GB2312"/>
          <w:sz w:val="32"/>
          <w:szCs w:val="32"/>
        </w:rPr>
        <w:t>主要用于</w:t>
      </w:r>
      <w:r>
        <w:rPr>
          <w:rFonts w:hint="eastAsia" w:eastAsia="仿宋_GB2312"/>
          <w:sz w:val="32"/>
          <w:szCs w:val="32"/>
          <w:lang w:eastAsia="zh-CN"/>
        </w:rPr>
        <w:t>统计局</w:t>
      </w:r>
      <w:r>
        <w:rPr>
          <w:rFonts w:hint="eastAsia" w:eastAsia="仿宋_GB2312"/>
          <w:sz w:val="32"/>
          <w:szCs w:val="32"/>
        </w:rPr>
        <w:t>日常工作开支</w:t>
      </w:r>
      <w:r>
        <w:rPr>
          <w:rFonts w:hint="eastAsia" w:eastAsia="仿宋_GB2312"/>
          <w:sz w:val="32"/>
          <w:szCs w:val="32"/>
          <w:lang w:eastAsia="zh-CN"/>
        </w:rPr>
        <w:t>、</w:t>
      </w:r>
      <w:r>
        <w:rPr>
          <w:rFonts w:hint="eastAsia" w:ascii="Times New Roman" w:hAnsi="Times New Roman" w:eastAsia="仿宋_GB2312" w:cs="Times New Roman"/>
          <w:color w:val="000000"/>
          <w:sz w:val="32"/>
          <w:szCs w:val="32"/>
          <w:highlight w:val="none"/>
        </w:rPr>
        <w:t>第五次全国经济普查工作</w:t>
      </w:r>
      <w:r>
        <w:rPr>
          <w:rFonts w:hint="eastAsia" w:ascii="Times New Roman" w:hAnsi="Times New Roman" w:eastAsia="仿宋_GB2312" w:cs="Times New Roman"/>
          <w:color w:val="000000"/>
          <w:sz w:val="32"/>
          <w:szCs w:val="32"/>
          <w:highlight w:val="none"/>
          <w:lang w:eastAsia="zh-CN"/>
        </w:rPr>
        <w:t>经费、</w:t>
      </w:r>
      <w:r>
        <w:rPr>
          <w:rFonts w:hint="eastAsia" w:eastAsia="仿宋_GB2312"/>
          <w:sz w:val="32"/>
          <w:szCs w:val="32"/>
        </w:rPr>
        <w:t>城调、基层统计岗位补助经费</w:t>
      </w:r>
      <w:r>
        <w:rPr>
          <w:rFonts w:hint="eastAsia" w:ascii="Times New Roman" w:hAnsi="Times New Roman" w:eastAsia="仿宋_GB2312" w:cs="Times New Roman"/>
          <w:color w:val="000000"/>
          <w:sz w:val="32"/>
          <w:szCs w:val="32"/>
          <w:highlight w:val="none"/>
        </w:rPr>
        <w:t>等</w:t>
      </w:r>
      <w:r>
        <w:rPr>
          <w:rFonts w:hint="eastAsia" w:eastAsia="仿宋_GB2312"/>
          <w:sz w:val="32"/>
          <w:szCs w:val="32"/>
        </w:rPr>
        <w:t>方面</w:t>
      </w:r>
      <w:r>
        <w:rPr>
          <w:rFonts w:hint="eastAsia" w:eastAsia="仿宋_GB2312"/>
          <w:sz w:val="32"/>
          <w:szCs w:val="32"/>
          <w:lang w:eastAsia="zh-CN"/>
        </w:rPr>
        <w:t>。</w:t>
      </w:r>
    </w:p>
    <w:p>
      <w:pPr>
        <w:pStyle w:val="9"/>
        <w:keepNext w:val="0"/>
        <w:keepLines w:val="0"/>
        <w:pageBreakBefore w:val="0"/>
        <w:widowControl/>
        <w:numPr>
          <w:ilvl w:val="0"/>
          <w:numId w:val="0"/>
        </w:numPr>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三、</w:t>
      </w:r>
      <w:r>
        <w:rPr>
          <w:rFonts w:hint="default" w:ascii="Times New Roman" w:hAnsi="Times New Roman" w:eastAsia="黑体" w:cs="Times New Roman"/>
          <w:sz w:val="32"/>
          <w:szCs w:val="32"/>
          <w:highlight w:val="none"/>
        </w:rPr>
        <w:t>政府性基金预算支出情况</w:t>
      </w:r>
    </w:p>
    <w:p>
      <w:pPr>
        <w:pStyle w:val="9"/>
        <w:keepNext w:val="0"/>
        <w:keepLines w:val="0"/>
        <w:pageBreakBefore w:val="0"/>
        <w:widowControl/>
        <w:numPr>
          <w:ilvl w:val="0"/>
          <w:numId w:val="0"/>
        </w:numPr>
        <w:kinsoku/>
        <w:wordWrap/>
        <w:overflowPunct/>
        <w:topLinePunct w:val="0"/>
        <w:autoSpaceDE/>
        <w:autoSpaceDN/>
        <w:bidi w:val="0"/>
        <w:adjustRightInd/>
        <w:snapToGrid/>
        <w:spacing w:line="640" w:lineRule="exact"/>
        <w:ind w:leftChars="200"/>
        <w:jc w:val="both"/>
        <w:textAlignment w:val="auto"/>
        <w:rPr>
          <w:rFonts w:hint="eastAsia" w:ascii="Times New Roman" w:hAnsi="Times New Roman" w:eastAsia="黑体" w:cs="Times New Roman"/>
          <w:sz w:val="32"/>
          <w:szCs w:val="32"/>
          <w:highlight w:val="none"/>
          <w:lang w:eastAsia="zh-CN"/>
        </w:rPr>
      </w:pPr>
      <w:r>
        <w:rPr>
          <w:rFonts w:hint="eastAsia" w:ascii="Times New Roman" w:hAnsi="Times New Roman" w:eastAsia="黑体" w:cs="Times New Roman"/>
          <w:sz w:val="32"/>
          <w:szCs w:val="32"/>
          <w:highlight w:val="none"/>
          <w:lang w:eastAsia="zh-CN"/>
        </w:rPr>
        <w:t>无</w:t>
      </w:r>
    </w:p>
    <w:p>
      <w:pPr>
        <w:pStyle w:val="9"/>
        <w:keepNext w:val="0"/>
        <w:keepLines w:val="0"/>
        <w:pageBreakBefore w:val="0"/>
        <w:widowControl/>
        <w:numPr>
          <w:ilvl w:val="0"/>
          <w:numId w:val="0"/>
        </w:numPr>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四、</w:t>
      </w:r>
      <w:r>
        <w:rPr>
          <w:rFonts w:hint="default" w:ascii="Times New Roman" w:hAnsi="Times New Roman" w:eastAsia="黑体" w:cs="Times New Roman"/>
          <w:sz w:val="32"/>
          <w:szCs w:val="32"/>
          <w:highlight w:val="none"/>
        </w:rPr>
        <w:t>国有资本经营预算支出情况</w:t>
      </w:r>
    </w:p>
    <w:p>
      <w:pPr>
        <w:pStyle w:val="9"/>
        <w:keepNext w:val="0"/>
        <w:keepLines w:val="0"/>
        <w:pageBreakBefore w:val="0"/>
        <w:widowControl/>
        <w:numPr>
          <w:ilvl w:val="0"/>
          <w:numId w:val="0"/>
        </w:numPr>
        <w:kinsoku/>
        <w:wordWrap/>
        <w:overflowPunct/>
        <w:topLinePunct w:val="0"/>
        <w:autoSpaceDE/>
        <w:autoSpaceDN/>
        <w:bidi w:val="0"/>
        <w:adjustRightInd/>
        <w:snapToGrid/>
        <w:spacing w:line="640" w:lineRule="exact"/>
        <w:ind w:leftChars="200"/>
        <w:jc w:val="both"/>
        <w:textAlignment w:val="auto"/>
        <w:rPr>
          <w:rFonts w:hint="eastAsia" w:ascii="Times New Roman" w:hAnsi="Times New Roman" w:eastAsia="黑体" w:cs="Times New Roman"/>
          <w:sz w:val="32"/>
          <w:szCs w:val="32"/>
          <w:highlight w:val="none"/>
          <w:lang w:eastAsia="zh-CN"/>
        </w:rPr>
      </w:pPr>
      <w:r>
        <w:rPr>
          <w:rFonts w:hint="eastAsia" w:ascii="Times New Roman" w:hAnsi="Times New Roman" w:eastAsia="黑体" w:cs="Times New Roman"/>
          <w:sz w:val="32"/>
          <w:szCs w:val="32"/>
          <w:highlight w:val="none"/>
          <w:lang w:eastAsia="zh-CN"/>
        </w:rPr>
        <w:t>无</w:t>
      </w:r>
    </w:p>
    <w:p>
      <w:pPr>
        <w:pStyle w:val="9"/>
        <w:keepNext w:val="0"/>
        <w:keepLines w:val="0"/>
        <w:pageBreakBefore w:val="0"/>
        <w:widowControl/>
        <w:numPr>
          <w:ilvl w:val="0"/>
          <w:numId w:val="0"/>
        </w:numPr>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五、</w:t>
      </w:r>
      <w:r>
        <w:rPr>
          <w:rFonts w:hint="default" w:ascii="Times New Roman" w:hAnsi="Times New Roman" w:eastAsia="黑体" w:cs="Times New Roman"/>
          <w:sz w:val="32"/>
          <w:szCs w:val="32"/>
          <w:highlight w:val="none"/>
        </w:rPr>
        <w:t>社会保险基金预算支出情况</w:t>
      </w:r>
    </w:p>
    <w:p>
      <w:pPr>
        <w:pStyle w:val="9"/>
        <w:keepNext w:val="0"/>
        <w:keepLines w:val="0"/>
        <w:pageBreakBefore w:val="0"/>
        <w:widowControl/>
        <w:numPr>
          <w:ilvl w:val="0"/>
          <w:numId w:val="0"/>
        </w:numPr>
        <w:kinsoku/>
        <w:wordWrap/>
        <w:overflowPunct/>
        <w:topLinePunct w:val="0"/>
        <w:autoSpaceDE/>
        <w:autoSpaceDN/>
        <w:bidi w:val="0"/>
        <w:adjustRightInd/>
        <w:snapToGrid/>
        <w:spacing w:line="640" w:lineRule="exact"/>
        <w:ind w:leftChars="200"/>
        <w:jc w:val="both"/>
        <w:textAlignment w:val="auto"/>
        <w:rPr>
          <w:rFonts w:hint="eastAsia" w:ascii="Times New Roman" w:hAnsi="Times New Roman" w:eastAsia="黑体" w:cs="Times New Roman"/>
          <w:sz w:val="32"/>
          <w:szCs w:val="32"/>
          <w:highlight w:val="none"/>
          <w:lang w:eastAsia="zh-CN"/>
        </w:rPr>
      </w:pPr>
      <w:r>
        <w:rPr>
          <w:rFonts w:hint="eastAsia" w:ascii="Times New Roman" w:hAnsi="Times New Roman" w:eastAsia="黑体" w:cs="Times New Roman"/>
          <w:sz w:val="32"/>
          <w:szCs w:val="32"/>
          <w:highlight w:val="none"/>
          <w:lang w:eastAsia="zh-CN"/>
        </w:rPr>
        <w:t>无</w:t>
      </w: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六、</w:t>
      </w:r>
      <w:r>
        <w:rPr>
          <w:rFonts w:hint="default" w:ascii="Times New Roman" w:hAnsi="Times New Roman" w:eastAsia="黑体" w:cs="Times New Roman"/>
          <w:sz w:val="32"/>
          <w:szCs w:val="32"/>
          <w:highlight w:val="none"/>
        </w:rPr>
        <w:t>部门整体支出绩效情况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t>2023年单位整体支出较好地完成了绩效目标，基本实现了预算绩效管理，强化了财政资金的有效使用。</w:t>
      </w:r>
    </w:p>
    <w:p>
      <w:pPr>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仿宋_GB2312" w:cs="Times New Roman"/>
          <w:b/>
          <w:bCs/>
          <w:color w:val="000000"/>
          <w:sz w:val="32"/>
          <w:szCs w:val="32"/>
          <w:highlight w:val="none"/>
        </w:rPr>
      </w:pPr>
      <w:r>
        <w:rPr>
          <w:rFonts w:hint="default" w:ascii="Times New Roman" w:hAnsi="Times New Roman" w:eastAsia="仿宋_GB2312" w:cs="Times New Roman"/>
          <w:b/>
          <w:bCs/>
          <w:color w:val="000000"/>
          <w:sz w:val="32"/>
          <w:szCs w:val="32"/>
          <w:highlight w:val="none"/>
        </w:rPr>
        <w:t>（一）2023年部门整体支出绩效目标设置及完成情况</w:t>
      </w:r>
    </w:p>
    <w:p>
      <w:pPr>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eastAsia" w:ascii="Times New Roman" w:hAnsi="Times New Roman" w:eastAsia="仿宋_GB2312" w:cs="Times New Roman"/>
          <w:kern w:val="0"/>
          <w:sz w:val="32"/>
          <w:szCs w:val="32"/>
          <w:highlight w:val="none"/>
          <w:lang w:val="en-US" w:eastAsia="zh-CN" w:bidi="ar-SA"/>
        </w:rPr>
      </w:pPr>
      <w:r>
        <w:rPr>
          <w:rFonts w:hint="eastAsia" w:ascii="楷体" w:hAnsi="楷体" w:eastAsia="楷体"/>
          <w:b/>
          <w:sz w:val="32"/>
          <w:szCs w:val="32"/>
          <w:lang w:val="en-US" w:eastAsia="zh-CN"/>
        </w:rPr>
        <w:t>目标1、</w:t>
      </w:r>
      <w:r>
        <w:rPr>
          <w:rFonts w:hint="eastAsia" w:ascii="Times New Roman" w:hAnsi="Times New Roman" w:eastAsia="仿宋_GB2312" w:cs="Times New Roman"/>
          <w:kern w:val="0"/>
          <w:sz w:val="32"/>
          <w:szCs w:val="32"/>
          <w:highlight w:val="none"/>
          <w:lang w:val="en-US" w:eastAsia="zh-CN" w:bidi="ar-SA"/>
        </w:rPr>
        <w:t>全面自查整改，坚守政治本色。一年来，局领导班子深刻领悟“两个确立”，坚定“四个自信”，做到“两个维护”在思想上政治上行动上始终同以习近平同志为核心的党中央保持高度一致。做到了党中央提倡的坚决响应，党中央决定的坚决照办，党中央禁止的坚决杜绝。</w:t>
      </w:r>
    </w:p>
    <w:p>
      <w:pPr>
        <w:tabs>
          <w:tab w:val="left" w:pos="822"/>
        </w:tabs>
        <w:ind w:firstLine="643" w:firstLineChars="200"/>
        <w:jc w:val="left"/>
        <w:rPr>
          <w:rFonts w:hint="eastAsia" w:ascii="Times New Roman" w:hAnsi="Times New Roman" w:eastAsia="仿宋_GB2312" w:cs="Times New Roman"/>
          <w:kern w:val="0"/>
          <w:sz w:val="32"/>
          <w:szCs w:val="32"/>
          <w:highlight w:val="none"/>
          <w:lang w:val="en-US" w:eastAsia="zh-CN" w:bidi="ar-SA"/>
        </w:rPr>
      </w:pPr>
      <w:r>
        <w:rPr>
          <w:rFonts w:hint="eastAsia" w:ascii="楷体" w:hAnsi="楷体" w:eastAsia="楷体" w:cs="Times New Roman"/>
          <w:b/>
          <w:kern w:val="0"/>
          <w:sz w:val="32"/>
          <w:szCs w:val="32"/>
          <w:lang w:val="en-US" w:eastAsia="zh-CN" w:bidi="ar-SA"/>
        </w:rPr>
        <w:t>完成情况：</w:t>
      </w:r>
      <w:r>
        <w:rPr>
          <w:rFonts w:hint="eastAsia" w:ascii="Times New Roman" w:hAnsi="Times New Roman" w:eastAsia="仿宋_GB2312" w:cs="Times New Roman"/>
          <w:kern w:val="0"/>
          <w:sz w:val="32"/>
          <w:szCs w:val="32"/>
          <w:highlight w:val="none"/>
          <w:lang w:val="en-US" w:eastAsia="zh-CN" w:bidi="ar-SA"/>
        </w:rPr>
        <w:t>2023年统计局对全区近200家“四上”企业、项目进行全面清查，核实凭证资料，夯实统计数据真实性，主动邀请省统计局到君山开展统计执法检查，进一步规范基层统计工作，纠正异常数据价值量190亿元。二是扎实开展对照整改。对照十二届省委第四轮巡视统计专项监督检查反馈的4个方面13个问题，制定整改方案，迅速开展立行立改，并长期坚持，目前已全部整改到位。三是以工作实绩通过人大评议。2022年9月29日，君山区六届人大常委会第六次会议对区统计局统计基层基础工作进行了专项评议，并提出了三点意见。一年来区统计局认真研究并落实整改，通过落实统计规范化建设，配强基层统计队伍，发挥统计信息职能，提升统计服务质效，贯彻落实统计法律法规等措施完成整改，并于区六届人大常委会第13次会议上评议通过。</w:t>
      </w:r>
    </w:p>
    <w:p>
      <w:pPr>
        <w:keepNext w:val="0"/>
        <w:keepLines w:val="0"/>
        <w:pageBreakBefore w:val="0"/>
        <w:kinsoku/>
        <w:wordWrap/>
        <w:overflowPunct/>
        <w:topLinePunct w:val="0"/>
        <w:autoSpaceDE/>
        <w:autoSpaceDN/>
        <w:bidi w:val="0"/>
        <w:adjustRightInd/>
        <w:snapToGrid/>
        <w:spacing w:beforeAutospacing="0" w:afterAutospacing="0" w:line="600" w:lineRule="exact"/>
        <w:ind w:firstLine="643" w:firstLineChars="200"/>
        <w:textAlignment w:val="auto"/>
        <w:rPr>
          <w:rFonts w:hint="eastAsia" w:ascii="Times New Roman" w:hAnsi="Times New Roman" w:eastAsia="仿宋_GB2312" w:cs="Times New Roman"/>
          <w:kern w:val="0"/>
          <w:sz w:val="32"/>
          <w:szCs w:val="32"/>
          <w:highlight w:val="none"/>
          <w:lang w:val="en-US" w:eastAsia="zh-CN" w:bidi="ar-SA"/>
        </w:rPr>
      </w:pPr>
      <w:r>
        <w:rPr>
          <w:rFonts w:hint="eastAsia" w:ascii="Times New Roman" w:hAnsi="Times New Roman" w:eastAsia="仿宋_GB2312" w:cs="Times New Roman"/>
          <w:b/>
          <w:bCs/>
          <w:kern w:val="0"/>
          <w:sz w:val="32"/>
          <w:szCs w:val="32"/>
          <w:highlight w:val="none"/>
          <w:lang w:val="en-US" w:eastAsia="zh-CN" w:bidi="ar-SA"/>
        </w:rPr>
        <w:t>目标2</w:t>
      </w:r>
      <w:r>
        <w:rPr>
          <w:rFonts w:hint="eastAsia" w:ascii="Times New Roman" w:hAnsi="Times New Roman" w:eastAsia="仿宋_GB2312" w:cs="Times New Roman"/>
          <w:kern w:val="0"/>
          <w:sz w:val="32"/>
          <w:szCs w:val="32"/>
          <w:highlight w:val="none"/>
          <w:lang w:val="en-US" w:eastAsia="zh-CN" w:bidi="ar-SA"/>
        </w:rPr>
        <w:t>、</w:t>
      </w:r>
      <w:r>
        <w:rPr>
          <w:rFonts w:hint="eastAsia" w:ascii="Times New Roman" w:hAnsi="Times New Roman" w:eastAsia="仿宋_GB2312" w:cs="Times New Roman"/>
          <w:color w:val="000000"/>
          <w:sz w:val="32"/>
          <w:szCs w:val="32"/>
          <w:highlight w:val="none"/>
        </w:rPr>
        <w:t>认真履行主要职能。一年来，区统计局领导班子始终履行统计职责，充分发挥职能作用。</w:t>
      </w:r>
    </w:p>
    <w:p>
      <w:pPr>
        <w:keepNext w:val="0"/>
        <w:keepLines w:val="0"/>
        <w:pageBreakBefore w:val="0"/>
        <w:kinsoku/>
        <w:wordWrap/>
        <w:overflowPunct/>
        <w:topLinePunct w:val="0"/>
        <w:autoSpaceDE/>
        <w:autoSpaceDN/>
        <w:bidi w:val="0"/>
        <w:adjustRightInd/>
        <w:snapToGrid/>
        <w:spacing w:beforeAutospacing="0" w:afterAutospacing="0" w:line="600" w:lineRule="exact"/>
        <w:ind w:firstLine="643" w:firstLineChars="200"/>
        <w:textAlignment w:val="auto"/>
        <w:rPr>
          <w:rFonts w:hint="eastAsia" w:ascii="Times New Roman" w:hAnsi="Times New Roman" w:eastAsia="仿宋_GB2312" w:cs="Times New Roman"/>
          <w:kern w:val="0"/>
          <w:sz w:val="32"/>
          <w:szCs w:val="32"/>
          <w:highlight w:val="none"/>
          <w:lang w:val="en-US" w:eastAsia="zh-CN" w:bidi="ar-SA"/>
        </w:rPr>
      </w:pPr>
      <w:r>
        <w:rPr>
          <w:rFonts w:hint="eastAsia" w:ascii="Times New Roman" w:hAnsi="Times New Roman" w:eastAsia="仿宋_GB2312" w:cs="Times New Roman"/>
          <w:b/>
          <w:bCs/>
          <w:kern w:val="0"/>
          <w:sz w:val="32"/>
          <w:szCs w:val="32"/>
          <w:highlight w:val="none"/>
          <w:lang w:val="en-US" w:eastAsia="zh-CN" w:bidi="ar-SA"/>
        </w:rPr>
        <w:t>完成情况：</w:t>
      </w:r>
      <w:r>
        <w:rPr>
          <w:rFonts w:hint="eastAsia" w:ascii="Times New Roman" w:hAnsi="Times New Roman" w:eastAsia="仿宋_GB2312" w:cs="Times New Roman"/>
          <w:kern w:val="0"/>
          <w:sz w:val="32"/>
          <w:szCs w:val="32"/>
          <w:highlight w:val="none"/>
          <w:lang w:val="en-US" w:eastAsia="zh-CN" w:bidi="ar-SA"/>
        </w:rPr>
        <w:t>一是持续推出《君山统计》刊物。综合分析指标情况，全年共印制统计刊物13期，其中4期“预测预警”，9期“经济运行”，与《君山区2022年国民经济和社会发展统计公报》《2023年统计年鉴》等出版物一道为党政领导和社会公众提供了直接有效的统计信息参考。二是全力协调对接市绩效考核工作。2023年市综合绩效考核中，与统计相关的指标有32个，共73.09分，在整个高质量指标143分的总分中占比51.11%。自市绩效考核工作开展以来，区统计局坚持每月到市局对接考核工作至少1次，并会同区发改局、区科工局、区住建局等涉统指标的责任单位到市局开展专项对接，并及时向区委考核办汇报，确保市绩效考核工作信息贯通，时刻掌握并分析指标运行情况，为我区完成争先创优目标。三是认真做好第五次全国经济普查工作。队伍建设有基础，目前完成“两员”选聘共312人，开展“两员”培训2次，共300余人次参与。工作开展有保障，全程经费预算经费270万元，已到位经费210万元，其中两员补贴经费90万元。“五经普”手持设备，自购228台，省局下发50台，已全部发放完毕并投入使用。工作进程有序推进，目前已完成清查法人单位3600家，个体户14143家，1月1日全面启动正式登记工作，目前已登记单位60家。四是组织推进“四上单位”申报工作。我区2023年“四上单位”申报全年目标19家，全年超额完成目标，共申报47家，其中工业9家，服务业13家，贸易18家，文化产业7家。</w:t>
      </w:r>
    </w:p>
    <w:p>
      <w:pPr>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eastAsia" w:ascii="Times New Roman" w:hAnsi="Times New Roman" w:eastAsia="仿宋_GB2312" w:cs="Times New Roman"/>
          <w:color w:val="000000"/>
          <w:sz w:val="32"/>
          <w:szCs w:val="32"/>
          <w:highlight w:val="none"/>
          <w:lang w:val="en-US" w:eastAsia="zh-CN"/>
        </w:rPr>
      </w:pPr>
      <w:r>
        <w:rPr>
          <w:rFonts w:hint="eastAsia" w:ascii="楷体" w:hAnsi="楷体" w:eastAsia="楷体"/>
          <w:b/>
          <w:sz w:val="32"/>
          <w:szCs w:val="32"/>
          <w:lang w:val="en-US" w:eastAsia="zh-CN"/>
        </w:rPr>
        <w:t>目标3、</w:t>
      </w:r>
      <w:r>
        <w:rPr>
          <w:rFonts w:hint="eastAsia" w:ascii="Times New Roman" w:hAnsi="Times New Roman" w:eastAsia="仿宋_GB2312" w:cs="Times New Roman"/>
          <w:color w:val="000000"/>
          <w:sz w:val="32"/>
          <w:szCs w:val="32"/>
          <w:highlight w:val="none"/>
        </w:rPr>
        <w:t>夯实统计基层基础。今年正式完成广兴洲镇、柳林洲街道统计站建设，实现统计规范化建设全覆盖，早于全省计划2年。</w:t>
      </w:r>
    </w:p>
    <w:p>
      <w:pPr>
        <w:keepNext w:val="0"/>
        <w:keepLines w:val="0"/>
        <w:pageBreakBefore w:val="0"/>
        <w:kinsoku/>
        <w:wordWrap/>
        <w:overflowPunct/>
        <w:topLinePunct w:val="0"/>
        <w:autoSpaceDE/>
        <w:autoSpaceDN/>
        <w:bidi w:val="0"/>
        <w:adjustRightInd/>
        <w:snapToGrid/>
        <w:spacing w:beforeAutospacing="0" w:afterAutospacing="0" w:line="600" w:lineRule="exact"/>
        <w:ind w:firstLine="643" w:firstLineChars="200"/>
        <w:textAlignment w:val="auto"/>
        <w:rPr>
          <w:rFonts w:hint="eastAsia" w:ascii="楷体" w:hAnsi="楷体" w:eastAsia="楷体" w:cs="Times New Roman"/>
          <w:b/>
          <w:kern w:val="0"/>
          <w:sz w:val="32"/>
          <w:szCs w:val="32"/>
          <w:lang w:val="en-US" w:eastAsia="zh-CN" w:bidi="ar-SA"/>
        </w:rPr>
      </w:pPr>
      <w:r>
        <w:rPr>
          <w:rFonts w:hint="eastAsia" w:ascii="楷体" w:hAnsi="楷体" w:eastAsia="楷体" w:cs="Times New Roman"/>
          <w:b/>
          <w:kern w:val="0"/>
          <w:sz w:val="32"/>
          <w:szCs w:val="32"/>
          <w:lang w:val="en-US" w:eastAsia="zh-CN" w:bidi="ar-SA"/>
        </w:rPr>
        <w:t>完成情况：</w:t>
      </w:r>
      <w:r>
        <w:rPr>
          <w:rFonts w:hint="eastAsia" w:ascii="仿宋_GB2312" w:hAnsi="仿宋_GB2312" w:eastAsia="仿宋_GB2312" w:cs="仿宋_GB2312"/>
          <w:color w:val="000000" w:themeColor="text1"/>
          <w:kern w:val="0"/>
          <w:sz w:val="32"/>
          <w:szCs w:val="32"/>
          <w14:textFill>
            <w14:solidFill>
              <w14:schemeClr w14:val="tx1"/>
            </w14:solidFill>
          </w14:textFill>
        </w:rPr>
        <w:t>一年来针对“四上”单位、部门统计员、经济普查员、住户与劳动力调查户开展培训讲座30余场，共计1000余人次参训，在培训中实行激励措施，对表现优秀的统计工作者给予表彰奖励。定期</w:t>
      </w:r>
      <w:r>
        <w:rPr>
          <w:rFonts w:hint="eastAsia" w:ascii="仿宋_GB2312" w:hAnsi="仿宋_GB2312" w:eastAsia="仿宋_GB2312" w:cs="仿宋_GB2312"/>
          <w:sz w:val="32"/>
          <w:szCs w:val="32"/>
        </w:rPr>
        <w:t>开展统计集中办公，月度开网前及时向发改、科工、商粮、住建等部门交流情况、分析问题、提供统计方面的建议，形成工作合力。</w:t>
      </w:r>
    </w:p>
    <w:p>
      <w:pPr>
        <w:keepNext w:val="0"/>
        <w:keepLines w:val="0"/>
        <w:pageBreakBefore w:val="0"/>
        <w:kinsoku/>
        <w:wordWrap/>
        <w:overflowPunct/>
        <w:topLinePunct w:val="0"/>
        <w:autoSpaceDE/>
        <w:autoSpaceDN/>
        <w:bidi w:val="0"/>
        <w:adjustRightInd/>
        <w:snapToGrid/>
        <w:spacing w:beforeAutospacing="0" w:afterAutospacing="0" w:line="600" w:lineRule="exact"/>
        <w:ind w:firstLine="643" w:firstLineChars="200"/>
        <w:textAlignment w:val="auto"/>
        <w:rPr>
          <w:rFonts w:hint="eastAsia" w:ascii="仿宋_GB2312" w:hAnsi="仿宋_GB2312" w:eastAsia="仿宋_GB2312" w:cs="仿宋_GB2312"/>
          <w:color w:val="000000" w:themeColor="text1"/>
          <w:kern w:val="0"/>
          <w:sz w:val="32"/>
          <w:szCs w:val="32"/>
          <w:lang w:val="en-US" w:eastAsia="zh-CN"/>
          <w14:textFill>
            <w14:solidFill>
              <w14:schemeClr w14:val="tx1"/>
            </w14:solidFill>
          </w14:textFill>
        </w:rPr>
      </w:pPr>
      <w:r>
        <w:rPr>
          <w:rFonts w:hint="eastAsia" w:ascii="Times New Roman" w:hAnsi="Times New Roman" w:eastAsia="仿宋_GB2312" w:cs="Times New Roman"/>
          <w:b/>
          <w:bCs/>
          <w:kern w:val="0"/>
          <w:sz w:val="32"/>
          <w:szCs w:val="32"/>
          <w:highlight w:val="none"/>
          <w:lang w:val="en-US" w:eastAsia="zh-CN" w:bidi="ar-SA"/>
        </w:rPr>
        <w:t>目标4</w:t>
      </w:r>
      <w:r>
        <w:rPr>
          <w:rFonts w:hint="eastAsia" w:ascii="Times New Roman" w:hAnsi="Times New Roman" w:eastAsia="仿宋_GB2312" w:cs="Times New Roman"/>
          <w:kern w:val="0"/>
          <w:sz w:val="32"/>
          <w:szCs w:val="32"/>
          <w:highlight w:val="none"/>
          <w:lang w:val="en-US" w:eastAsia="zh-CN" w:bidi="ar-SA"/>
        </w:rPr>
        <w:t>、</w:t>
      </w:r>
      <w:r>
        <w:rPr>
          <w:rFonts w:hint="eastAsia" w:ascii="仿宋_GB2312" w:hAnsi="仿宋_GB2312" w:eastAsia="仿宋_GB2312" w:cs="仿宋_GB2312"/>
          <w:color w:val="000000" w:themeColor="text1"/>
          <w:kern w:val="0"/>
          <w:sz w:val="32"/>
          <w:szCs w:val="32"/>
          <w14:textFill>
            <w14:solidFill>
              <w14:schemeClr w14:val="tx1"/>
            </w14:solidFill>
          </w14:textFill>
        </w:rPr>
        <w:t>开展统计法律法规宣传。为深入学习宣传贯彻党的二十大关于坚持全面依法治国战略部署，大力弘扬统计法治精神，纵深推进依法统计依法治统</w:t>
      </w:r>
      <w:r>
        <w:rPr>
          <w:rFonts w:hint="eastAsia" w:ascii="仿宋_GB2312" w:hAnsi="仿宋_GB2312" w:eastAsia="仿宋_GB2312" w:cs="仿宋_GB2312"/>
          <w:color w:val="000000" w:themeColor="text1"/>
          <w:kern w:val="0"/>
          <w:sz w:val="32"/>
          <w:szCs w:val="32"/>
          <w:lang w:eastAsia="zh-CN"/>
          <w14:textFill>
            <w14:solidFill>
              <w14:schemeClr w14:val="tx1"/>
            </w14:solidFill>
          </w14:textFill>
        </w:rPr>
        <w:t>。</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225" w:afterAutospacing="0" w:line="600" w:lineRule="atLeast"/>
        <w:ind w:left="0" w:right="0" w:firstLine="643"/>
        <w:jc w:val="both"/>
        <w:rPr>
          <w:rFonts w:hint="eastAsia" w:ascii="Times New Roman" w:hAnsi="Times New Roman" w:eastAsia="仿宋_GB2312" w:cs="Times New Roman"/>
          <w:b/>
          <w:bCs/>
          <w:kern w:val="0"/>
          <w:sz w:val="32"/>
          <w:szCs w:val="32"/>
          <w:highlight w:val="none"/>
          <w:lang w:val="en-US" w:eastAsia="zh-CN" w:bidi="ar-SA"/>
        </w:rPr>
      </w:pPr>
      <w:r>
        <w:rPr>
          <w:rFonts w:hint="eastAsia" w:ascii="Times New Roman" w:hAnsi="Times New Roman" w:eastAsia="仿宋_GB2312" w:cs="Times New Roman"/>
          <w:b/>
          <w:bCs/>
          <w:kern w:val="0"/>
          <w:sz w:val="32"/>
          <w:szCs w:val="32"/>
          <w:highlight w:val="none"/>
          <w:lang w:val="en-US" w:eastAsia="zh-CN" w:bidi="ar-SA"/>
        </w:rPr>
        <w:t>完成情况：</w:t>
      </w:r>
      <w:r>
        <w:rPr>
          <w:rFonts w:hint="eastAsia" w:ascii="仿宋_GB2312" w:hAnsi="仿宋_GB2312" w:eastAsia="仿宋_GB2312" w:cs="仿宋_GB2312"/>
          <w:sz w:val="32"/>
          <w:szCs w:val="32"/>
        </w:rPr>
        <w:t>12月8日君山区统计局结合我区实际开展《统计法》宣传月活动。</w:t>
      </w:r>
      <w:r>
        <w:rPr>
          <w:rFonts w:hint="eastAsia" w:ascii="仿宋_GB2312" w:hAnsi="仿宋_GB2312" w:eastAsia="仿宋_GB2312" w:cs="仿宋_GB2312"/>
          <w:sz w:val="32"/>
          <w:szCs w:val="32"/>
          <w:shd w:val="clear" w:color="auto" w:fill="FFFFFF"/>
        </w:rPr>
        <w:t>利用宣传展板和宣传广播对来往群众开展统计法知识宣传、邀请群众参与转发统计法相关知识内容，进行打卡互动，领取纪念礼品等方式开展，群众踊跃参与。期间区委常委、常务副区长沈澍同志亲临现场，感受宣传氛围，听取工作人员介绍统计法律法规知识。本次活动获得领导和群众的一致好评，取得了良好的宣传效果。</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spacing w:before="225" w:beforeAutospacing="0" w:after="225" w:afterAutospacing="0" w:line="600" w:lineRule="atLeast"/>
        <w:ind w:left="0" w:leftChars="0" w:right="0" w:firstLine="643" w:firstLineChars="200"/>
        <w:jc w:val="both"/>
        <w:rPr>
          <w:rFonts w:ascii="楷体_GB2312" w:hAnsi="微软雅黑" w:eastAsia="楷体_GB2312" w:cs="楷体_GB2312"/>
          <w:b/>
          <w:bCs/>
          <w:i w:val="0"/>
          <w:iCs w:val="0"/>
          <w:caps w:val="0"/>
          <w:color w:val="000000"/>
          <w:spacing w:val="0"/>
          <w:kern w:val="0"/>
          <w:sz w:val="32"/>
          <w:szCs w:val="32"/>
          <w:shd w:val="clear" w:fill="FFFFFF"/>
          <w:lang w:val="en-US" w:eastAsia="zh-CN" w:bidi="ar"/>
        </w:rPr>
      </w:pPr>
      <w:r>
        <w:rPr>
          <w:rFonts w:ascii="楷体_GB2312" w:hAnsi="微软雅黑" w:eastAsia="楷体_GB2312" w:cs="楷体_GB2312"/>
          <w:b/>
          <w:bCs/>
          <w:i w:val="0"/>
          <w:iCs w:val="0"/>
          <w:caps w:val="0"/>
          <w:color w:val="000000"/>
          <w:spacing w:val="0"/>
          <w:kern w:val="0"/>
          <w:sz w:val="32"/>
          <w:szCs w:val="32"/>
          <w:shd w:val="clear" w:fill="FFFFFF"/>
          <w:lang w:val="en-US" w:eastAsia="zh-CN" w:bidi="ar"/>
        </w:rPr>
        <w:t>单位资产管理和整体业务实施效果情况</w:t>
      </w:r>
    </w:p>
    <w:p>
      <w:pPr>
        <w:pStyle w:val="3"/>
        <w:bidi w:val="0"/>
        <w:rPr>
          <w:rFonts w:hint="eastAsia" w:ascii="Times New Roman" w:hAnsi="Times New Roman" w:eastAsia="仿宋_GB2312" w:cs="Times New Roman"/>
          <w:kern w:val="0"/>
          <w:sz w:val="32"/>
          <w:szCs w:val="32"/>
          <w:highlight w:val="none"/>
          <w:lang w:val="en-US" w:eastAsia="zh-CN" w:bidi="ar-SA"/>
        </w:rPr>
      </w:pPr>
      <w:r>
        <w:rPr>
          <w:rFonts w:hint="default" w:ascii="Times New Roman" w:hAnsi="Times New Roman" w:eastAsia="仿宋_GB2312" w:cs="Times New Roman"/>
          <w:kern w:val="0"/>
          <w:sz w:val="32"/>
          <w:szCs w:val="32"/>
          <w:highlight w:val="none"/>
          <w:lang w:val="en-US" w:eastAsia="zh-CN" w:bidi="ar-SA"/>
        </w:rPr>
        <w:t>本单位资产设有专</w:t>
      </w:r>
      <w:r>
        <w:rPr>
          <w:rFonts w:hint="eastAsia" w:ascii="Times New Roman" w:hAnsi="Times New Roman" w:eastAsia="仿宋_GB2312" w:cs="Times New Roman"/>
          <w:kern w:val="0"/>
          <w:sz w:val="32"/>
          <w:szCs w:val="32"/>
          <w:highlight w:val="none"/>
          <w:lang w:val="en-US" w:eastAsia="zh-CN" w:bidi="ar-SA"/>
        </w:rPr>
        <w:t>门人员将单位所有资产全部录入固定资产信息系统</w:t>
      </w:r>
      <w:r>
        <w:rPr>
          <w:rFonts w:hint="default" w:ascii="Times New Roman" w:hAnsi="Times New Roman" w:eastAsia="仿宋_GB2312" w:cs="Times New Roman"/>
          <w:kern w:val="0"/>
          <w:sz w:val="32"/>
          <w:szCs w:val="32"/>
          <w:highlight w:val="none"/>
          <w:lang w:val="en-US" w:eastAsia="zh-CN" w:bidi="ar-SA"/>
        </w:rPr>
        <w:t>,</w:t>
      </w:r>
      <w:r>
        <w:rPr>
          <w:rFonts w:hint="eastAsia" w:ascii="Times New Roman" w:hAnsi="Times New Roman" w:eastAsia="仿宋_GB2312" w:cs="Times New Roman"/>
          <w:kern w:val="0"/>
          <w:sz w:val="32"/>
          <w:szCs w:val="32"/>
          <w:highlight w:val="none"/>
          <w:lang w:val="en-US" w:eastAsia="zh-CN" w:bidi="ar-SA"/>
        </w:rPr>
        <w:t>实行动态管理。资产配置严格按照规定程序报批，坚持资产配备与单位履行职能需要相适应，坚持资产管理与预算管理相结合。资产利用率高，资产配置基本合理，人均占有办公室使用面积、人均占有通用设备数量等指标均在正常范围。科学管理和使用国有资产</w:t>
      </w:r>
      <w:r>
        <w:rPr>
          <w:rFonts w:hint="default" w:ascii="Times New Roman" w:hAnsi="Times New Roman" w:eastAsia="仿宋_GB2312" w:cs="Times New Roman"/>
          <w:kern w:val="0"/>
          <w:sz w:val="32"/>
          <w:szCs w:val="32"/>
          <w:highlight w:val="none"/>
          <w:lang w:val="en-US" w:eastAsia="zh-CN" w:bidi="ar-SA"/>
        </w:rPr>
        <w:t>,</w:t>
      </w:r>
      <w:r>
        <w:rPr>
          <w:rFonts w:hint="eastAsia" w:ascii="Times New Roman" w:hAnsi="Times New Roman" w:eastAsia="仿宋_GB2312" w:cs="Times New Roman"/>
          <w:kern w:val="0"/>
          <w:sz w:val="32"/>
          <w:szCs w:val="32"/>
          <w:highlight w:val="none"/>
          <w:lang w:val="en-US" w:eastAsia="zh-CN" w:bidi="ar-SA"/>
        </w:rPr>
        <w:t>保障单位正常运转的同时，合理配备并有效使用资产，充分发挥了国有资产的使用效益和社会效益。</w:t>
      </w:r>
    </w:p>
    <w:p>
      <w:pPr>
        <w:spacing w:line="540" w:lineRule="exact"/>
        <w:ind w:firstLine="640" w:firstLineChars="200"/>
        <w:rPr>
          <w:rFonts w:hint="eastAsia" w:ascii="Times New Roman" w:hAnsi="Times New Roman" w:eastAsia="仿宋_GB2312" w:cs="Times New Roman"/>
          <w:kern w:val="0"/>
          <w:sz w:val="32"/>
          <w:szCs w:val="32"/>
          <w:highlight w:val="none"/>
          <w:lang w:val="en-US" w:eastAsia="zh-CN" w:bidi="ar-SA"/>
        </w:rPr>
      </w:pPr>
      <w:r>
        <w:rPr>
          <w:rFonts w:hint="eastAsia" w:ascii="Times New Roman" w:hAnsi="Times New Roman" w:eastAsia="仿宋_GB2312" w:cs="Times New Roman"/>
          <w:kern w:val="0"/>
          <w:sz w:val="32"/>
          <w:szCs w:val="32"/>
          <w:highlight w:val="none"/>
          <w:lang w:val="en-US" w:eastAsia="zh-CN" w:bidi="ar-SA"/>
        </w:rPr>
        <w:t>2023年，在区委、区政府的坚强领导下，区统计局围绕区委“一二三六”工作思路，坚持高质量发展理念，履职尽责，进一步夯实统计数据基础。坚持统计联网直报制度，强化市场主体经营意识，协同发改、科工、市场、税务等主管部门继续推进“个转企”“小升规”工作，筛选潜力主体名单，扩充数据库，反映经济发展状况。做好数据开发，运用“五经普”数据成果对我区经济运行、产业结构、发展趋势等方面进行详细分析，形成专题研究成果，以实实在在的统计基础、精准有效的数据分析服务，践行“一二三六”工作思路，为全面推进君山经济社会跨越式发展，建设精致精美、出新出彩的洞庭明珠贡献统计力量。</w:t>
      </w:r>
    </w:p>
    <w:p>
      <w:pPr>
        <w:pStyle w:val="9"/>
        <w:keepNext w:val="0"/>
        <w:keepLines w:val="0"/>
        <w:pageBreakBefore w:val="0"/>
        <w:widowControl/>
        <w:kinsoku/>
        <w:wordWrap/>
        <w:overflowPunct/>
        <w:topLinePunct w:val="0"/>
        <w:autoSpaceDE/>
        <w:autoSpaceDN/>
        <w:bidi w:val="0"/>
        <w:adjustRightInd/>
        <w:snapToGrid/>
        <w:spacing w:line="640" w:lineRule="exact"/>
        <w:ind w:left="0" w:leftChars="0" w:firstLine="0" w:firstLineChars="0"/>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七</w:t>
      </w:r>
      <w:r>
        <w:rPr>
          <w:rFonts w:hint="default" w:ascii="Times New Roman" w:hAnsi="Times New Roman" w:eastAsia="黑体" w:cs="Times New Roman"/>
          <w:sz w:val="32"/>
          <w:szCs w:val="32"/>
          <w:highlight w:val="none"/>
        </w:rPr>
        <w:t>、存在的问题及原因分析</w:t>
      </w:r>
    </w:p>
    <w:p>
      <w:pPr>
        <w:pStyle w:val="3"/>
        <w:bidi w:val="0"/>
        <w:rPr>
          <w:rFonts w:hint="default" w:ascii="Times New Roman" w:hAnsi="Times New Roman" w:eastAsia="仿宋_GB2312" w:cs="Times New Roman"/>
          <w:kern w:val="0"/>
          <w:sz w:val="32"/>
          <w:szCs w:val="32"/>
          <w:highlight w:val="none"/>
          <w:lang w:val="en-US" w:eastAsia="zh-CN" w:bidi="ar-SA"/>
        </w:rPr>
      </w:pPr>
      <w:r>
        <w:rPr>
          <w:rFonts w:hint="default" w:ascii="Times New Roman" w:hAnsi="Times New Roman" w:eastAsia="仿宋_GB2312" w:cs="Times New Roman"/>
          <w:kern w:val="0"/>
          <w:sz w:val="32"/>
          <w:szCs w:val="32"/>
          <w:highlight w:val="none"/>
          <w:lang w:val="en-US" w:eastAsia="zh-CN" w:bidi="ar-SA"/>
        </w:rPr>
        <w:t>1．预算执行的准确性有待加强。由于目前的预算管理在编制和实施中还存在编制不细、追加预算等现象，因此预算执行的准确性还有待加强。   </w:t>
      </w:r>
    </w:p>
    <w:p>
      <w:pPr>
        <w:pStyle w:val="3"/>
        <w:bidi w:val="0"/>
        <w:rPr>
          <w:rFonts w:hint="default" w:ascii="Times New Roman" w:hAnsi="Times New Roman" w:eastAsia="仿宋_GB2312" w:cs="Times New Roman"/>
          <w:kern w:val="0"/>
          <w:sz w:val="32"/>
          <w:szCs w:val="32"/>
          <w:highlight w:val="none"/>
          <w:lang w:val="en-US" w:eastAsia="zh-CN" w:bidi="ar-SA"/>
        </w:rPr>
      </w:pPr>
      <w:r>
        <w:rPr>
          <w:rFonts w:hint="default" w:ascii="Times New Roman" w:hAnsi="Times New Roman" w:eastAsia="仿宋_GB2312" w:cs="Times New Roman"/>
          <w:kern w:val="0"/>
          <w:sz w:val="32"/>
          <w:szCs w:val="32"/>
          <w:highlight w:val="none"/>
          <w:lang w:val="en-US" w:eastAsia="zh-CN" w:bidi="ar-SA"/>
        </w:rPr>
        <w:t>2．绩效评价管理体制机制有待完善。个别科室对绩效评价工作的认识不够，个别人员绩效评价管理意识不强，绩效评价管理体制机制和队伍建设与绩效管理的要求还存在一定的差距。</w:t>
      </w: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八</w:t>
      </w:r>
      <w:r>
        <w:rPr>
          <w:rFonts w:hint="default" w:ascii="Times New Roman" w:hAnsi="Times New Roman" w:eastAsia="黑体" w:cs="Times New Roman"/>
          <w:sz w:val="32"/>
          <w:szCs w:val="32"/>
          <w:highlight w:val="none"/>
        </w:rPr>
        <w:t>、下一步改进措施</w:t>
      </w:r>
    </w:p>
    <w:p>
      <w:pPr>
        <w:pStyle w:val="3"/>
        <w:bidi w:val="0"/>
        <w:rPr>
          <w:rFonts w:hint="default" w:ascii="Times New Roman" w:hAnsi="Times New Roman" w:eastAsia="仿宋_GB2312" w:cs="Times New Roman"/>
          <w:kern w:val="0"/>
          <w:sz w:val="32"/>
          <w:szCs w:val="32"/>
          <w:highlight w:val="none"/>
          <w:lang w:val="en-US" w:eastAsia="zh-CN" w:bidi="ar-SA"/>
        </w:rPr>
      </w:pPr>
      <w:r>
        <w:rPr>
          <w:rFonts w:hint="default" w:ascii="Times New Roman" w:hAnsi="Times New Roman" w:eastAsia="仿宋_GB2312" w:cs="Times New Roman"/>
          <w:kern w:val="0"/>
          <w:sz w:val="32"/>
          <w:szCs w:val="32"/>
          <w:highlight w:val="none"/>
          <w:lang w:val="en-US" w:eastAsia="zh-CN" w:bidi="ar-SA"/>
        </w:rPr>
        <w:t>1．科学编制预算。结合单位实际，统筹安排年度预算，进一步提高部门预算编制的科学性、合理性和严谨性，确保预算编制全覆盖。</w:t>
      </w:r>
    </w:p>
    <w:p>
      <w:pPr>
        <w:pStyle w:val="3"/>
        <w:bidi w:val="0"/>
        <w:rPr>
          <w:rFonts w:hint="default" w:ascii="Times New Roman" w:hAnsi="Times New Roman" w:eastAsia="仿宋_GB2312" w:cs="Times New Roman"/>
          <w:kern w:val="0"/>
          <w:sz w:val="32"/>
          <w:szCs w:val="32"/>
          <w:highlight w:val="none"/>
          <w:lang w:val="en-US" w:eastAsia="zh-CN" w:bidi="ar-SA"/>
        </w:rPr>
      </w:pPr>
      <w:r>
        <w:rPr>
          <w:rFonts w:hint="eastAsia" w:ascii="Times New Roman" w:hAnsi="Times New Roman" w:eastAsia="仿宋_GB2312" w:cs="Times New Roman"/>
          <w:kern w:val="0"/>
          <w:sz w:val="32"/>
          <w:szCs w:val="32"/>
          <w:highlight w:val="none"/>
          <w:lang w:val="en-US" w:eastAsia="zh-CN" w:bidi="ar-SA"/>
        </w:rPr>
        <w:t>2．强化绩效管理。增强绩效意识，建立长期稳定的绩效评价管理体制机制，加强绩效评价管理的队伍建设和业务指导，开展好整体支出绩效管理工作，运用好绩效评价的结果，不断提升预算绩效管理水平。</w:t>
      </w: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九</w:t>
      </w:r>
      <w:r>
        <w:rPr>
          <w:rFonts w:hint="default" w:ascii="Times New Roman" w:hAnsi="Times New Roman" w:eastAsia="黑体" w:cs="Times New Roman"/>
          <w:sz w:val="32"/>
          <w:szCs w:val="32"/>
          <w:highlight w:val="none"/>
        </w:rPr>
        <w:t>、部门整体支出绩效自评结果拟应用和公开情况</w:t>
      </w:r>
    </w:p>
    <w:p>
      <w:pPr>
        <w:pStyle w:val="3"/>
        <w:bidi w:val="0"/>
        <w:rPr>
          <w:rFonts w:hint="eastAsia" w:ascii="Times New Roman" w:hAnsi="Times New Roman" w:eastAsia="仿宋_GB2312" w:cs="Times New Roman"/>
          <w:kern w:val="0"/>
          <w:sz w:val="32"/>
          <w:szCs w:val="32"/>
          <w:highlight w:val="none"/>
          <w:lang w:val="en-US" w:eastAsia="zh-CN" w:bidi="ar-SA"/>
        </w:rPr>
      </w:pPr>
      <w:r>
        <w:rPr>
          <w:rFonts w:hint="eastAsia" w:ascii="Times New Roman" w:hAnsi="Times New Roman" w:eastAsia="仿宋_GB2312" w:cs="Times New Roman"/>
          <w:kern w:val="0"/>
          <w:sz w:val="32"/>
          <w:szCs w:val="32"/>
          <w:highlight w:val="none"/>
          <w:lang w:val="en-US" w:eastAsia="zh-CN" w:bidi="ar-SA"/>
        </w:rPr>
        <w:t>单位2023年度部门整体支出绩效自评结果拟按湖南省财政厅关于印发《湖南省预算支出绩效评价管理办法》的通知（湘财绩〔2020〕7号）要求，在整体支出项目绩效目标编制申报时，根据项目实际情况和预期可达成的目标，设置更科学合理的指标。本单位2023年度部门整体支出绩效自评报告将严格按照文件要求，在君山区政务中心门户网站进行公开。</w:t>
      </w: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十、</w:t>
      </w:r>
      <w:r>
        <w:rPr>
          <w:rFonts w:hint="default" w:ascii="Times New Roman" w:hAnsi="Times New Roman" w:eastAsia="黑体" w:cs="Times New Roman"/>
          <w:sz w:val="32"/>
          <w:szCs w:val="32"/>
          <w:highlight w:val="none"/>
        </w:rPr>
        <w:t>其他需要说明的情况</w:t>
      </w:r>
    </w:p>
    <w:p>
      <w:pPr>
        <w:pStyle w:val="3"/>
        <w:bidi w:val="0"/>
        <w:rPr>
          <w:rFonts w:hint="eastAsia" w:ascii="Times New Roman" w:hAnsi="Times New Roman" w:eastAsia="仿宋_GB2312" w:cs="Times New Roman"/>
          <w:kern w:val="0"/>
          <w:sz w:val="32"/>
          <w:szCs w:val="32"/>
          <w:highlight w:val="none"/>
          <w:lang w:val="en-US" w:eastAsia="zh-CN" w:bidi="ar-SA"/>
        </w:rPr>
      </w:pPr>
      <w:r>
        <w:rPr>
          <w:rFonts w:hint="eastAsia" w:ascii="Times New Roman" w:hAnsi="Times New Roman" w:eastAsia="仿宋_GB2312" w:cs="Times New Roman"/>
          <w:kern w:val="0"/>
          <w:sz w:val="32"/>
          <w:szCs w:val="32"/>
          <w:highlight w:val="none"/>
          <w:lang w:val="en-US" w:eastAsia="zh-CN" w:bidi="ar-SA"/>
        </w:rPr>
        <w:t>无</w:t>
      </w:r>
    </w:p>
    <w:p>
      <w:pPr>
        <w:pStyle w:val="3"/>
        <w:bidi w:val="0"/>
        <w:rPr>
          <w:rFonts w:hint="eastAsia" w:ascii="Times New Roman" w:hAnsi="Times New Roman" w:eastAsia="仿宋_GB2312" w:cs="Times New Roman"/>
          <w:kern w:val="0"/>
          <w:sz w:val="32"/>
          <w:szCs w:val="32"/>
          <w:highlight w:val="none"/>
          <w:lang w:val="en-US" w:eastAsia="zh-CN" w:bidi="ar-SA"/>
        </w:rPr>
      </w:pPr>
      <w:r>
        <w:rPr>
          <w:rFonts w:hint="eastAsia" w:ascii="Times New Roman" w:hAnsi="Times New Roman" w:eastAsia="仿宋_GB2312" w:cs="Times New Roman"/>
          <w:kern w:val="0"/>
          <w:sz w:val="32"/>
          <w:szCs w:val="32"/>
          <w:highlight w:val="none"/>
          <w:lang w:val="en-US" w:eastAsia="zh-CN" w:bidi="ar-SA"/>
        </w:rPr>
        <w:t>附件：</w:t>
      </w:r>
    </w:p>
    <w:p>
      <w:pPr>
        <w:pStyle w:val="3"/>
        <w:bidi w:val="0"/>
        <w:rPr>
          <w:rFonts w:hint="eastAsia" w:ascii="Times New Roman" w:hAnsi="Times New Roman" w:eastAsia="仿宋_GB2312" w:cs="Times New Roman"/>
          <w:kern w:val="0"/>
          <w:sz w:val="32"/>
          <w:szCs w:val="32"/>
          <w:highlight w:val="none"/>
          <w:lang w:val="en-US" w:eastAsia="zh-CN" w:bidi="ar-SA"/>
        </w:rPr>
      </w:pPr>
      <w:r>
        <w:rPr>
          <w:rFonts w:hint="eastAsia" w:ascii="Times New Roman" w:hAnsi="Times New Roman" w:eastAsia="仿宋_GB2312" w:cs="Times New Roman"/>
          <w:kern w:val="0"/>
          <w:sz w:val="32"/>
          <w:szCs w:val="32"/>
          <w:highlight w:val="none"/>
          <w:lang w:val="en-US" w:eastAsia="zh-CN" w:bidi="ar-SA"/>
        </w:rPr>
        <w:t>1.部门整体支出绩效评价基础数据表</w:t>
      </w:r>
    </w:p>
    <w:p>
      <w:pPr>
        <w:pStyle w:val="3"/>
        <w:bidi w:val="0"/>
        <w:rPr>
          <w:rFonts w:hint="eastAsia" w:ascii="Times New Roman" w:hAnsi="Times New Roman" w:eastAsia="仿宋_GB2312" w:cs="Times New Roman"/>
          <w:kern w:val="0"/>
          <w:sz w:val="32"/>
          <w:szCs w:val="32"/>
          <w:highlight w:val="none"/>
          <w:lang w:val="en-US" w:eastAsia="zh-CN" w:bidi="ar-SA"/>
        </w:rPr>
      </w:pPr>
      <w:r>
        <w:rPr>
          <w:rFonts w:hint="eastAsia" w:ascii="Times New Roman" w:hAnsi="Times New Roman" w:eastAsia="仿宋_GB2312" w:cs="Times New Roman"/>
          <w:kern w:val="0"/>
          <w:sz w:val="32"/>
          <w:szCs w:val="32"/>
          <w:highlight w:val="none"/>
          <w:lang w:val="en-US" w:eastAsia="zh-CN" w:bidi="ar-SA"/>
        </w:rPr>
        <w:t>2.部门整体支出绩效自评表</w:t>
      </w:r>
    </w:p>
    <w:p>
      <w:pPr>
        <w:pStyle w:val="3"/>
        <w:bidi w:val="0"/>
        <w:rPr>
          <w:rFonts w:hint="eastAsia" w:ascii="Times New Roman" w:hAnsi="Times New Roman" w:eastAsia="仿宋_GB2312" w:cs="Times New Roman"/>
          <w:kern w:val="0"/>
          <w:sz w:val="32"/>
          <w:szCs w:val="32"/>
          <w:highlight w:val="none"/>
          <w:lang w:val="en-US" w:eastAsia="zh-CN" w:bidi="ar-SA"/>
        </w:rPr>
      </w:pPr>
      <w:r>
        <w:rPr>
          <w:rFonts w:hint="eastAsia" w:ascii="Times New Roman" w:hAnsi="Times New Roman" w:eastAsia="仿宋_GB2312" w:cs="Times New Roman"/>
          <w:kern w:val="0"/>
          <w:sz w:val="32"/>
          <w:szCs w:val="32"/>
          <w:highlight w:val="none"/>
          <w:lang w:val="en-US" w:eastAsia="zh-CN" w:bidi="ar-SA"/>
        </w:rPr>
        <w:t>3.部门整体支出绩效自评工作考核评分表</w:t>
      </w: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36"/>
          <w:szCs w:val="36"/>
          <w:highlight w:val="none"/>
        </w:rPr>
      </w:pPr>
    </w:p>
    <w:p>
      <w:pPr>
        <w:spacing w:after="120" w:afterLines="50" w:line="600" w:lineRule="exact"/>
        <w:ind w:firstLine="720" w:firstLineChars="200"/>
        <w:jc w:val="both"/>
        <w:rPr>
          <w:rFonts w:hint="eastAsia" w:ascii="方正小标宋简体" w:hAnsi="方正小标宋简体" w:eastAsia="方正小标宋简体" w:cs="方正小标宋简体"/>
          <w:sz w:val="24"/>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年度部门整体支出绩效评价基础数据表</w:t>
      </w:r>
    </w:p>
    <w:tbl>
      <w:tblPr>
        <w:tblStyle w:val="6"/>
        <w:tblW w:w="9673" w:type="dxa"/>
        <w:jc w:val="center"/>
        <w:tblLayout w:type="fixed"/>
        <w:tblCellMar>
          <w:top w:w="0" w:type="dxa"/>
          <w:left w:w="108" w:type="dxa"/>
          <w:bottom w:w="0" w:type="dxa"/>
          <w:right w:w="108" w:type="dxa"/>
        </w:tblCellMar>
      </w:tblPr>
      <w:tblGrid>
        <w:gridCol w:w="3354"/>
        <w:gridCol w:w="1189"/>
        <w:gridCol w:w="849"/>
        <w:gridCol w:w="1129"/>
        <w:gridCol w:w="1111"/>
        <w:gridCol w:w="1081"/>
        <w:gridCol w:w="960"/>
      </w:tblGrid>
      <w:tr>
        <w:tblPrEx>
          <w:tblCellMar>
            <w:top w:w="0" w:type="dxa"/>
            <w:left w:w="108" w:type="dxa"/>
            <w:bottom w:w="0" w:type="dxa"/>
            <w:right w:w="108" w:type="dxa"/>
          </w:tblCellMar>
        </w:tblPrEx>
        <w:trPr>
          <w:trHeight w:val="0" w:hRule="atLeast"/>
          <w:jc w:val="center"/>
        </w:trPr>
        <w:tc>
          <w:tcPr>
            <w:tcW w:w="3354"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财政供养人员情况（人）</w:t>
            </w: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编制数</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年实际在职人数</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控制率</w:t>
            </w:r>
          </w:p>
        </w:tc>
      </w:tr>
      <w:tr>
        <w:tblPrEx>
          <w:tblCellMar>
            <w:top w:w="0" w:type="dxa"/>
            <w:left w:w="108" w:type="dxa"/>
            <w:bottom w:w="0" w:type="dxa"/>
            <w:right w:w="108" w:type="dxa"/>
          </w:tblCellMar>
        </w:tblPrEx>
        <w:trPr>
          <w:trHeight w:val="0" w:hRule="atLeast"/>
          <w:jc w:val="center"/>
        </w:trPr>
        <w:tc>
          <w:tcPr>
            <w:tcW w:w="335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13</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16</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123%</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经费控制情况（万元）</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2</w:t>
            </w:r>
            <w:r>
              <w:rPr>
                <w:rFonts w:hint="eastAsia" w:ascii="仿宋_GB2312" w:hAnsi="仿宋_GB2312" w:eastAsia="仿宋_GB2312" w:cs="仿宋_GB2312"/>
                <w:b/>
                <w:bCs/>
                <w:sz w:val="20"/>
                <w:szCs w:val="20"/>
                <w:highlight w:val="none"/>
              </w:rPr>
              <w:t>年决算数</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年预算数</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年决算数</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三公经费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0.59</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0.05</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1、公务用车购置和维护经费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其中：公车购置</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公车运行维护</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r>
      <w:tr>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2、出国经费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3、公务接待</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0.59</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0.05</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项目支出：</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195.97</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384</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410</w:t>
            </w:r>
          </w:p>
        </w:tc>
      </w:tr>
      <w:tr>
        <w:tblPrEx>
          <w:tblCellMar>
            <w:top w:w="0" w:type="dxa"/>
            <w:left w:w="108" w:type="dxa"/>
            <w:bottom w:w="0" w:type="dxa"/>
            <w:right w:w="108" w:type="dxa"/>
          </w:tblCellMar>
        </w:tblPrEx>
        <w:trPr>
          <w:trHeight w:val="373"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1、业务工作经费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195.97</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174</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200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 xml:space="preserve">    2、</w:t>
            </w:r>
            <w:r>
              <w:rPr>
                <w:rFonts w:hint="eastAsia" w:ascii="仿宋_GB2312" w:hAnsi="仿宋_GB2312" w:eastAsia="仿宋_GB2312" w:cs="仿宋_GB2312"/>
                <w:sz w:val="20"/>
                <w:szCs w:val="20"/>
                <w:highlight w:val="none"/>
                <w:lang w:eastAsia="zh-CN"/>
              </w:rPr>
              <w:t>统计专项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210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210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 xml:space="preserve">    3、其他资金</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4.93</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w:t>
            </w:r>
            <w:r>
              <w:rPr>
                <w:rFonts w:hint="eastAsia" w:ascii="仿宋_GB2312" w:hAnsi="仿宋_GB2312" w:eastAsia="仿宋_GB2312" w:cs="仿宋_GB2312"/>
                <w:sz w:val="20"/>
                <w:szCs w:val="20"/>
                <w:highlight w:val="none"/>
                <w:lang w:eastAsia="zh-CN"/>
              </w:rPr>
              <w:t>市级</w:t>
            </w:r>
            <w:r>
              <w:rPr>
                <w:rFonts w:hint="eastAsia" w:ascii="仿宋_GB2312" w:hAnsi="仿宋_GB2312" w:eastAsia="仿宋_GB2312" w:cs="仿宋_GB2312"/>
                <w:sz w:val="20"/>
                <w:szCs w:val="20"/>
                <w:highlight w:val="none"/>
              </w:rPr>
              <w:t>专项资金（一个专项一行）</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公用经费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16.8</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27.29</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26.34</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其中：办公经费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000000" w:themeColor="text1"/>
                <w:sz w:val="20"/>
                <w:szCs w:val="20"/>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20"/>
                <w:szCs w:val="20"/>
                <w:highlight w:val="none"/>
                <w:lang w:val="en-US" w:eastAsia="zh-CN"/>
                <w14:textFill>
                  <w14:solidFill>
                    <w14:schemeClr w14:val="tx1"/>
                  </w14:solidFill>
                </w14:textFill>
              </w:rPr>
              <w:t>16.74</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000000" w:themeColor="text1"/>
                <w:sz w:val="20"/>
                <w:szCs w:val="20"/>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20"/>
                <w:szCs w:val="20"/>
                <w:highlight w:val="none"/>
                <w:lang w:val="en-US" w:eastAsia="zh-CN"/>
                <w14:textFill>
                  <w14:solidFill>
                    <w14:schemeClr w14:val="tx1"/>
                  </w14:solidFill>
                </w14:textFill>
              </w:rPr>
              <w:t>23.51</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000000" w:themeColor="text1"/>
                <w:sz w:val="20"/>
                <w:szCs w:val="20"/>
                <w:highlight w:val="none"/>
                <w14:textFill>
                  <w14:solidFill>
                    <w14:schemeClr w14:val="tx1"/>
                  </w14:solidFill>
                </w14:textFill>
              </w:rPr>
            </w:pPr>
            <w:r>
              <w:rPr>
                <w:rFonts w:hint="eastAsia" w:ascii="仿宋_GB2312" w:hAnsi="仿宋_GB2312" w:eastAsia="仿宋_GB2312" w:cs="仿宋_GB2312"/>
                <w:color w:val="000000" w:themeColor="text1"/>
                <w:sz w:val="20"/>
                <w:szCs w:val="20"/>
                <w:highlight w:val="none"/>
                <w:lang w:val="en-US" w:eastAsia="zh-CN"/>
                <w14:textFill>
                  <w14:solidFill>
                    <w14:schemeClr w14:val="tx1"/>
                  </w14:solidFill>
                </w14:textFill>
              </w:rPr>
              <w:t>23.51</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水费、电费、差旅费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000000" w:themeColor="text1"/>
                <w:sz w:val="20"/>
                <w:szCs w:val="20"/>
                <w:highlight w:val="none"/>
                <w14:textFill>
                  <w14:solidFill>
                    <w14:schemeClr w14:val="tx1"/>
                  </w14:solidFill>
                </w14:textFill>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000000" w:themeColor="text1"/>
                <w:sz w:val="20"/>
                <w:szCs w:val="20"/>
                <w:highlight w:val="none"/>
                <w:lang w:val="en-US" w:eastAsia="zh-CN"/>
                <w14:textFill>
                  <w14:solidFill>
                    <w14:schemeClr w14:val="tx1"/>
                  </w14:solidFill>
                </w14:textFill>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000000" w:themeColor="text1"/>
                <w:sz w:val="20"/>
                <w:szCs w:val="20"/>
                <w:highlight w:val="none"/>
                <w:lang w:val="en-US" w:eastAsia="zh-CN"/>
                <w14:textFill>
                  <w14:solidFill>
                    <w14:schemeClr w14:val="tx1"/>
                  </w14:solidFill>
                </w14:textFill>
              </w:rPr>
            </w:pP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会议费、培训费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000000" w:themeColor="text1"/>
                <w:sz w:val="20"/>
                <w:szCs w:val="20"/>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20"/>
                <w:szCs w:val="20"/>
                <w:highlight w:val="none"/>
                <w:lang w:val="en-US" w:eastAsia="zh-CN"/>
                <w14:textFill>
                  <w14:solidFill>
                    <w14:schemeClr w14:val="tx1"/>
                  </w14:solidFill>
                </w14:textFill>
              </w:rPr>
              <w:t>0.06</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000000" w:themeColor="text1"/>
                <w:sz w:val="20"/>
                <w:szCs w:val="20"/>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20"/>
                <w:szCs w:val="20"/>
                <w:highlight w:val="none"/>
                <w:lang w:val="en-US" w:eastAsia="zh-CN"/>
                <w14:textFill>
                  <w14:solidFill>
                    <w14:schemeClr w14:val="tx1"/>
                  </w14:solidFill>
                </w14:textFill>
              </w:rPr>
              <w:t>2.83</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000000" w:themeColor="text1"/>
                <w:sz w:val="20"/>
                <w:szCs w:val="20"/>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20"/>
                <w:szCs w:val="20"/>
                <w:highlight w:val="none"/>
                <w:lang w:val="en-US" w:eastAsia="zh-CN"/>
                <w14:textFill>
                  <w14:solidFill>
                    <w14:schemeClr w14:val="tx1"/>
                  </w14:solidFill>
                </w14:textFill>
              </w:rPr>
              <w:t>2.83</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政府采购金额</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部门基本支出预算调整 </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vMerge w:val="restart"/>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楼堂馆所控制情况</w:t>
            </w:r>
          </w:p>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（202</w:t>
            </w:r>
            <w:r>
              <w:rPr>
                <w:rFonts w:hint="eastAsia" w:ascii="仿宋_GB2312" w:hAnsi="仿宋_GB2312" w:eastAsia="仿宋_GB2312" w:cs="仿宋_GB2312"/>
                <w:sz w:val="20"/>
                <w:szCs w:val="20"/>
                <w:highlight w:val="none"/>
                <w:lang w:val="en-US" w:eastAsia="zh-CN"/>
              </w:rPr>
              <w:t>3</w:t>
            </w:r>
            <w:r>
              <w:rPr>
                <w:rFonts w:hint="eastAsia" w:ascii="仿宋_GB2312" w:hAnsi="仿宋_GB2312" w:eastAsia="仿宋_GB2312" w:cs="仿宋_GB2312"/>
                <w:sz w:val="20"/>
                <w:szCs w:val="20"/>
                <w:highlight w:val="none"/>
              </w:rPr>
              <w:t>年完工项目）</w:t>
            </w: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lang w:eastAsia="zh-CN"/>
              </w:rPr>
            </w:pPr>
            <w:r>
              <w:rPr>
                <w:rFonts w:hint="eastAsia" w:ascii="仿宋_GB2312" w:hAnsi="仿宋_GB2312" w:eastAsia="仿宋_GB2312" w:cs="仿宋_GB2312"/>
                <w:bCs/>
                <w:sz w:val="20"/>
                <w:szCs w:val="20"/>
                <w:highlight w:val="none"/>
              </w:rPr>
              <w:t>批复规模</w:t>
            </w:r>
          </w:p>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w:t>
            </w:r>
          </w:p>
        </w:tc>
        <w:tc>
          <w:tcPr>
            <w:tcW w:w="84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实际规模（㎡）</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规模控制率</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预算投资（万元）</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实际投资（万元）</w:t>
            </w:r>
          </w:p>
        </w:tc>
        <w:tc>
          <w:tcPr>
            <w:tcW w:w="960"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投资概算控制率</w:t>
            </w:r>
          </w:p>
        </w:tc>
      </w:tr>
      <w:tr>
        <w:tblPrEx>
          <w:tblCellMar>
            <w:top w:w="0" w:type="dxa"/>
            <w:left w:w="108" w:type="dxa"/>
            <w:bottom w:w="0" w:type="dxa"/>
            <w:right w:w="108" w:type="dxa"/>
          </w:tblCellMar>
        </w:tblPrEx>
        <w:trPr>
          <w:trHeight w:val="0" w:hRule="atLeast"/>
          <w:jc w:val="center"/>
        </w:trPr>
        <w:tc>
          <w:tcPr>
            <w:tcW w:w="3354" w:type="dxa"/>
            <w:vMerge w:val="continue"/>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84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960"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厉行节约保障措施</w:t>
            </w:r>
          </w:p>
        </w:tc>
        <w:tc>
          <w:tcPr>
            <w:tcW w:w="6319" w:type="dxa"/>
            <w:gridSpan w:val="6"/>
            <w:tcBorders>
              <w:top w:val="single" w:color="auto" w:sz="4" w:space="0"/>
              <w:left w:val="nil"/>
              <w:bottom w:val="single" w:color="auto" w:sz="4" w:space="0"/>
              <w:right w:val="single" w:color="000000"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　一是加强预算管理；二是严格经费审批；三是</w:t>
            </w:r>
            <w:r>
              <w:rPr>
                <w:rFonts w:hint="eastAsia" w:ascii="仿宋_GB2312" w:hAnsi="仿宋_GB2312" w:eastAsia="仿宋_GB2312" w:cs="仿宋_GB2312"/>
                <w:sz w:val="20"/>
                <w:szCs w:val="20"/>
                <w:highlight w:val="none"/>
                <w:lang w:eastAsia="zh-CN"/>
              </w:rPr>
              <w:t>严格控制“三公”经费。</w:t>
            </w:r>
          </w:p>
        </w:tc>
      </w:tr>
    </w:tbl>
    <w:p>
      <w:pPr>
        <w:widowControl/>
        <w:spacing w:afterLines="0" w:line="400" w:lineRule="exact"/>
        <w:jc w:val="left"/>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highlight w:val="none"/>
        </w:rPr>
        <w:t>说明：“项目支出”需要填报基本支出以外的所有项目支出情况，“公用经费”填报基本支出中的一般商品和服务支出。</w:t>
      </w:r>
    </w:p>
    <w:p>
      <w:pPr>
        <w:widowControl/>
        <w:spacing w:afterLines="0" w:line="400" w:lineRule="exact"/>
        <w:jc w:val="left"/>
        <w:rPr>
          <w:rFonts w:hint="default" w:ascii="Times New Roman" w:hAnsi="Times New Roman" w:eastAsia="仿宋_GB2312" w:cs="Times New Roman"/>
          <w:sz w:val="22"/>
          <w:highlight w:val="none"/>
        </w:rPr>
      </w:pPr>
    </w:p>
    <w:p>
      <w:pPr>
        <w:widowControl/>
        <w:spacing w:after="0" w:afterLines="0" w:line="400" w:lineRule="exact"/>
        <w:jc w:val="left"/>
        <w:rPr>
          <w:rFonts w:hint="eastAsia" w:ascii="黑体" w:hAnsi="黑体" w:eastAsia="黑体" w:cs="黑体"/>
          <w:sz w:val="32"/>
          <w:szCs w:val="32"/>
          <w:highlight w:val="none"/>
          <w:lang w:eastAsia="zh-CN"/>
        </w:rPr>
      </w:pPr>
      <w:r>
        <w:rPr>
          <w:rFonts w:hint="default" w:ascii="Times New Roman" w:hAnsi="Times New Roman" w:eastAsia="仿宋_GB2312" w:cs="Times New Roman"/>
          <w:sz w:val="22"/>
          <w:highlight w:val="none"/>
        </w:rPr>
        <w:t>填表人：        填报日期：          联系电话：            单位负责人签字：</w:t>
      </w:r>
      <w:r>
        <w:rPr>
          <w:rFonts w:hint="default" w:ascii="Times New Roman" w:hAnsi="Times New Roman" w:eastAsia="仿宋_GB2312" w:cs="Times New Roman"/>
          <w:sz w:val="22"/>
          <w:highlight w:val="none"/>
        </w:rPr>
        <w:br w:type="page"/>
      </w:r>
    </w:p>
    <w:p>
      <w:pPr>
        <w:widowControl/>
        <w:spacing w:after="120" w:afterLines="50"/>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年度部门整体支出绩效自评表</w:t>
      </w:r>
    </w:p>
    <w:tbl>
      <w:tblPr>
        <w:tblStyle w:val="6"/>
        <w:tblW w:w="10400" w:type="dxa"/>
        <w:jc w:val="center"/>
        <w:tblLayout w:type="autofit"/>
        <w:tblCellMar>
          <w:top w:w="0" w:type="dxa"/>
          <w:left w:w="108" w:type="dxa"/>
          <w:bottom w:w="0" w:type="dxa"/>
          <w:right w:w="108" w:type="dxa"/>
        </w:tblCellMar>
      </w:tblPr>
      <w:tblGrid>
        <w:gridCol w:w="1080"/>
        <w:gridCol w:w="1080"/>
        <w:gridCol w:w="873"/>
        <w:gridCol w:w="1936"/>
        <w:gridCol w:w="982"/>
        <w:gridCol w:w="1268"/>
        <w:gridCol w:w="873"/>
        <w:gridCol w:w="791"/>
        <w:gridCol w:w="1517"/>
      </w:tblGrid>
      <w:tr>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市</w:t>
            </w:r>
            <w:r>
              <w:rPr>
                <w:rFonts w:hint="eastAsia" w:ascii="仿宋_GB2312" w:hAnsi="仿宋_GB2312" w:eastAsia="仿宋_GB2312" w:cs="仿宋_GB2312"/>
                <w:color w:val="000000"/>
                <w:sz w:val="20"/>
                <w:szCs w:val="20"/>
                <w:highlight w:val="none"/>
              </w:rPr>
              <w:t>级预算部门名称</w:t>
            </w:r>
          </w:p>
        </w:tc>
        <w:tc>
          <w:tcPr>
            <w:tcW w:w="9320" w:type="dxa"/>
            <w:gridSpan w:val="8"/>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岳阳市君山区统计局</w:t>
            </w: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年度预</w:t>
            </w:r>
          </w:p>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算申请</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（万元）</w:t>
            </w:r>
          </w:p>
        </w:tc>
        <w:tc>
          <w:tcPr>
            <w:tcW w:w="1953"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p>
        </w:tc>
        <w:tc>
          <w:tcPr>
            <w:tcW w:w="193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年初预算数</w:t>
            </w:r>
          </w:p>
        </w:tc>
        <w:tc>
          <w:tcPr>
            <w:tcW w:w="982"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全年预算数</w:t>
            </w:r>
          </w:p>
        </w:tc>
        <w:tc>
          <w:tcPr>
            <w:tcW w:w="1268"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全年执行数</w:t>
            </w:r>
          </w:p>
        </w:tc>
        <w:tc>
          <w:tcPr>
            <w:tcW w:w="873"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791"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517"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953"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年度资金总额</w:t>
            </w:r>
          </w:p>
        </w:tc>
        <w:tc>
          <w:tcPr>
            <w:tcW w:w="1936"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568.9</w:t>
            </w:r>
          </w:p>
        </w:tc>
        <w:tc>
          <w:tcPr>
            <w:tcW w:w="982"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640.02</w:t>
            </w:r>
          </w:p>
        </w:tc>
        <w:tc>
          <w:tcPr>
            <w:tcW w:w="1268"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640.02</w:t>
            </w:r>
          </w:p>
        </w:tc>
        <w:tc>
          <w:tcPr>
            <w:tcW w:w="873"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w:t>
            </w:r>
          </w:p>
        </w:tc>
        <w:tc>
          <w:tcPr>
            <w:tcW w:w="791"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w:t>
            </w:r>
          </w:p>
        </w:tc>
        <w:tc>
          <w:tcPr>
            <w:tcW w:w="1517"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871"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按收入性质分：</w:t>
            </w:r>
          </w:p>
        </w:tc>
        <w:tc>
          <w:tcPr>
            <w:tcW w:w="4449"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按支出性质分：</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871"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xml:space="preserve">  其中：  一般公共预算：</w:t>
            </w:r>
            <w:r>
              <w:rPr>
                <w:rFonts w:hint="eastAsia" w:ascii="仿宋_GB2312" w:hAnsi="仿宋_GB2312" w:eastAsia="仿宋_GB2312" w:cs="仿宋_GB2312"/>
                <w:color w:val="000000"/>
                <w:sz w:val="20"/>
                <w:szCs w:val="20"/>
                <w:highlight w:val="none"/>
                <w:lang w:val="en-US" w:eastAsia="zh-CN"/>
              </w:rPr>
              <w:t>635.09</w:t>
            </w:r>
          </w:p>
        </w:tc>
        <w:tc>
          <w:tcPr>
            <w:tcW w:w="4449"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其中：基本支出：</w:t>
            </w:r>
            <w:r>
              <w:rPr>
                <w:rFonts w:hint="eastAsia" w:ascii="仿宋_GB2312" w:hAnsi="仿宋_GB2312" w:eastAsia="仿宋_GB2312" w:cs="仿宋_GB2312"/>
                <w:color w:val="000000"/>
                <w:sz w:val="20"/>
                <w:szCs w:val="20"/>
                <w:highlight w:val="none"/>
                <w:lang w:val="en-US" w:eastAsia="zh-CN"/>
              </w:rPr>
              <w:t>225.09</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871" w:type="dxa"/>
            <w:gridSpan w:val="4"/>
            <w:tcBorders>
              <w:top w:val="nil"/>
              <w:left w:val="nil"/>
              <w:bottom w:val="single" w:color="auto" w:sz="4" w:space="0"/>
              <w:right w:val="single" w:color="auto" w:sz="4" w:space="0"/>
            </w:tcBorders>
            <w:noWrap w:val="0"/>
            <w:vAlign w:val="center"/>
          </w:tcPr>
          <w:p>
            <w:pPr>
              <w:widowControl/>
              <w:spacing w:line="240" w:lineRule="exact"/>
              <w:ind w:firstLine="800" w:firstLineChars="4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政府性基金拨款：</w:t>
            </w:r>
          </w:p>
        </w:tc>
        <w:tc>
          <w:tcPr>
            <w:tcW w:w="4449" w:type="dxa"/>
            <w:gridSpan w:val="4"/>
            <w:tcBorders>
              <w:top w:val="nil"/>
              <w:left w:val="nil"/>
              <w:bottom w:val="single" w:color="auto" w:sz="4" w:space="0"/>
              <w:right w:val="single" w:color="auto" w:sz="4" w:space="0"/>
            </w:tcBorders>
            <w:noWrap w:val="0"/>
            <w:vAlign w:val="center"/>
          </w:tcPr>
          <w:p>
            <w:pPr>
              <w:widowControl/>
              <w:spacing w:line="240" w:lineRule="exact"/>
              <w:ind w:firstLine="600" w:firstLineChars="3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项目支出：</w:t>
            </w:r>
            <w:r>
              <w:rPr>
                <w:rFonts w:hint="eastAsia" w:ascii="仿宋_GB2312" w:hAnsi="仿宋_GB2312" w:eastAsia="仿宋_GB2312" w:cs="仿宋_GB2312"/>
                <w:color w:val="000000"/>
                <w:sz w:val="20"/>
                <w:szCs w:val="20"/>
                <w:highlight w:val="none"/>
                <w:lang w:val="en-US" w:eastAsia="zh-CN"/>
              </w:rPr>
              <w:t>414.93</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871"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纳入专户管理的非税收入拨款：</w:t>
            </w:r>
          </w:p>
        </w:tc>
        <w:tc>
          <w:tcPr>
            <w:tcW w:w="4449"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871" w:type="dxa"/>
            <w:gridSpan w:val="4"/>
            <w:tcBorders>
              <w:top w:val="nil"/>
              <w:left w:val="nil"/>
              <w:bottom w:val="single" w:color="auto" w:sz="4" w:space="0"/>
              <w:right w:val="single" w:color="auto" w:sz="4" w:space="0"/>
            </w:tcBorders>
            <w:noWrap w:val="0"/>
            <w:vAlign w:val="center"/>
          </w:tcPr>
          <w:p>
            <w:pPr>
              <w:widowControl/>
              <w:spacing w:line="240" w:lineRule="exact"/>
              <w:ind w:firstLine="1400" w:firstLineChars="7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其他资金：</w:t>
            </w:r>
            <w:r>
              <w:rPr>
                <w:rFonts w:hint="eastAsia" w:ascii="仿宋_GB2312" w:hAnsi="仿宋_GB2312" w:eastAsia="仿宋_GB2312" w:cs="仿宋_GB2312"/>
                <w:color w:val="000000"/>
                <w:sz w:val="20"/>
                <w:szCs w:val="20"/>
                <w:highlight w:val="none"/>
                <w:lang w:val="en-US" w:eastAsia="zh-CN"/>
              </w:rPr>
              <w:t>4.96</w:t>
            </w:r>
          </w:p>
        </w:tc>
        <w:tc>
          <w:tcPr>
            <w:tcW w:w="4449"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871"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449" w:type="dxa"/>
            <w:gridSpan w:val="4"/>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871" w:type="dxa"/>
            <w:gridSpan w:val="4"/>
            <w:tcBorders>
              <w:top w:val="single" w:color="auto" w:sz="4" w:space="0"/>
              <w:left w:val="nil"/>
              <w:bottom w:val="single" w:color="auto" w:sz="4" w:space="0"/>
              <w:right w:val="single" w:color="000000" w:sz="4" w:space="0"/>
            </w:tcBorders>
            <w:noWrap w:val="0"/>
            <w:vAlign w:val="center"/>
          </w:tcPr>
          <w:p>
            <w:pPr>
              <w:widowControl/>
              <w:numPr>
                <w:ilvl w:val="0"/>
                <w:numId w:val="0"/>
              </w:numPr>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一、</w:t>
            </w:r>
            <w:r>
              <w:rPr>
                <w:rFonts w:hint="eastAsia" w:ascii="仿宋_GB2312" w:hAnsi="仿宋_GB2312" w:eastAsia="仿宋_GB2312" w:cs="仿宋_GB2312"/>
                <w:color w:val="000000"/>
                <w:sz w:val="20"/>
                <w:szCs w:val="20"/>
                <w:highlight w:val="none"/>
              </w:rPr>
              <w:t>扎实开展政治建设</w:t>
            </w:r>
            <w:r>
              <w:rPr>
                <w:rFonts w:hint="eastAsia" w:ascii="仿宋_GB2312" w:hAnsi="仿宋_GB2312" w:eastAsia="仿宋_GB2312" w:cs="仿宋_GB2312"/>
                <w:color w:val="000000"/>
                <w:sz w:val="20"/>
                <w:szCs w:val="20"/>
                <w:highlight w:val="none"/>
                <w:lang w:val="en-US" w:eastAsia="zh-CN"/>
              </w:rPr>
              <w:t>.</w:t>
            </w:r>
          </w:p>
          <w:p>
            <w:pPr>
              <w:widowControl/>
              <w:numPr>
                <w:ilvl w:val="0"/>
                <w:numId w:val="0"/>
              </w:numPr>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二、履职尽责护航经济社会高质量发展</w:t>
            </w:r>
          </w:p>
          <w:p>
            <w:pPr>
              <w:tabs>
                <w:tab w:val="left" w:pos="822"/>
              </w:tabs>
              <w:ind w:firstLine="643" w:firstLineChars="200"/>
              <w:jc w:val="left"/>
              <w:rPr>
                <w:rFonts w:ascii="黑体" w:hAnsi="黑体" w:eastAsia="黑体" w:cs="黑体"/>
                <w:b/>
                <w:bCs/>
                <w:sz w:val="32"/>
                <w:szCs w:val="32"/>
              </w:rPr>
            </w:pPr>
          </w:p>
          <w:p>
            <w:pPr>
              <w:widowControl/>
              <w:spacing w:line="240" w:lineRule="exact"/>
              <w:jc w:val="left"/>
              <w:rPr>
                <w:rFonts w:hint="eastAsia" w:ascii="仿宋_GB2312" w:hAnsi="仿宋_GB2312" w:eastAsia="仿宋_GB2312" w:cs="仿宋_GB2312"/>
                <w:color w:val="000000"/>
                <w:sz w:val="20"/>
                <w:szCs w:val="20"/>
                <w:highlight w:val="none"/>
              </w:rPr>
            </w:pPr>
          </w:p>
        </w:tc>
        <w:tc>
          <w:tcPr>
            <w:tcW w:w="4449" w:type="dxa"/>
            <w:gridSpan w:val="4"/>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一是持续推出《君山统计》刊物。二是全力协调对接市绩效考核工作。三是认真做好第五次全国经济普查工作。四是组织推进“四上单位”申报工作。五是夯实统计基层基础。六是开展统计法律法规宣传。</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93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982"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年度指标值</w:t>
            </w:r>
          </w:p>
        </w:tc>
        <w:tc>
          <w:tcPr>
            <w:tcW w:w="1268"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实际完成值</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79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517"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trHeight w:val="478"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widowControl/>
              <w:spacing w:line="240" w:lineRule="exact"/>
              <w:jc w:val="center"/>
              <w:rPr>
                <w:rFonts w:hint="eastAsia" w:ascii="仿宋_GB2312" w:hAnsi="仿宋_GB2312" w:eastAsia="仿宋_GB2312" w:cs="仿宋_GB2312"/>
                <w:color w:val="000000"/>
                <w:sz w:val="20"/>
                <w:szCs w:val="20"/>
                <w:highlight w:val="none"/>
              </w:rPr>
            </w:pP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873"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9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撰写统计分析报告</w:t>
            </w:r>
          </w:p>
        </w:tc>
        <w:tc>
          <w:tcPr>
            <w:tcW w:w="982"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w:t>
            </w:r>
          </w:p>
        </w:tc>
        <w:tc>
          <w:tcPr>
            <w:tcW w:w="1268"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79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51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458"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873"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9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做好数据服务工作</w:t>
            </w:r>
          </w:p>
        </w:tc>
        <w:tc>
          <w:tcPr>
            <w:tcW w:w="982"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≥12</w:t>
            </w:r>
          </w:p>
        </w:tc>
        <w:tc>
          <w:tcPr>
            <w:tcW w:w="1268"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13</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79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51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873"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9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做好四上单位申报</w:t>
            </w:r>
          </w:p>
        </w:tc>
        <w:tc>
          <w:tcPr>
            <w:tcW w:w="982"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≥15</w:t>
            </w:r>
          </w:p>
        </w:tc>
        <w:tc>
          <w:tcPr>
            <w:tcW w:w="1268"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19</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79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51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873"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9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统计普法及第五次全国经济普查工作覆盖率</w:t>
            </w:r>
          </w:p>
        </w:tc>
        <w:tc>
          <w:tcPr>
            <w:tcW w:w="982"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1268"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79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51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873"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9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统计监测工作完成率</w:t>
            </w:r>
          </w:p>
        </w:tc>
        <w:tc>
          <w:tcPr>
            <w:tcW w:w="982"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1268"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79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51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400"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873"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9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工作及时性</w:t>
            </w:r>
          </w:p>
        </w:tc>
        <w:tc>
          <w:tcPr>
            <w:tcW w:w="98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126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79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51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454"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873"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9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p>
        </w:tc>
        <w:tc>
          <w:tcPr>
            <w:tcW w:w="98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p>
        </w:tc>
        <w:tc>
          <w:tcPr>
            <w:tcW w:w="126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p>
        </w:tc>
        <w:tc>
          <w:tcPr>
            <w:tcW w:w="79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p>
        </w:tc>
        <w:tc>
          <w:tcPr>
            <w:tcW w:w="151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trHeight w:val="335"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873"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9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财政资金支出</w:t>
            </w:r>
          </w:p>
        </w:tc>
        <w:tc>
          <w:tcPr>
            <w:tcW w:w="982"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≤568.9万元</w:t>
            </w:r>
          </w:p>
        </w:tc>
        <w:tc>
          <w:tcPr>
            <w:tcW w:w="1268"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640.02</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79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9.5</w:t>
            </w:r>
          </w:p>
        </w:tc>
        <w:tc>
          <w:tcPr>
            <w:tcW w:w="151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预算追加</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873"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9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深入了解企业经营状况</w:t>
            </w:r>
          </w:p>
        </w:tc>
        <w:tc>
          <w:tcPr>
            <w:tcW w:w="98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定性</w:t>
            </w:r>
          </w:p>
        </w:tc>
        <w:tc>
          <w:tcPr>
            <w:tcW w:w="126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提高</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79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51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widowControl/>
              <w:spacing w:line="240" w:lineRule="exact"/>
              <w:jc w:val="left"/>
              <w:rPr>
                <w:rFonts w:hint="eastAsia" w:ascii="仿宋_GB2312" w:hAnsi="仿宋_GB2312" w:eastAsia="仿宋_GB2312" w:cs="仿宋_GB2312"/>
                <w:color w:val="000000"/>
                <w:sz w:val="20"/>
                <w:szCs w:val="20"/>
                <w:highlight w:val="none"/>
              </w:rPr>
            </w:pP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9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促进本地域经济健康发展</w:t>
            </w:r>
          </w:p>
        </w:tc>
        <w:tc>
          <w:tcPr>
            <w:tcW w:w="98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促进</w:t>
            </w:r>
          </w:p>
        </w:tc>
        <w:tc>
          <w:tcPr>
            <w:tcW w:w="126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有效促进</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79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51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8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9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极大地提升党和政府形象</w:t>
            </w:r>
          </w:p>
        </w:tc>
        <w:tc>
          <w:tcPr>
            <w:tcW w:w="98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提升</w:t>
            </w:r>
          </w:p>
        </w:tc>
        <w:tc>
          <w:tcPr>
            <w:tcW w:w="126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有效提升</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79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51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340"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8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936" w:type="dxa"/>
            <w:tcBorders>
              <w:top w:val="nil"/>
              <w:left w:val="nil"/>
              <w:bottom w:val="single" w:color="auto" w:sz="4" w:space="0"/>
              <w:right w:val="single" w:color="auto" w:sz="4" w:space="0"/>
            </w:tcBorders>
            <w:noWrap w:val="0"/>
            <w:vAlign w:val="center"/>
          </w:tcPr>
          <w:p>
            <w:pPr>
              <w:jc w:val="both"/>
              <w:rPr>
                <w:rFonts w:hint="eastAsia" w:ascii="仿宋_GB2312" w:hAnsi="仿宋_GB2312" w:eastAsia="仿宋_GB2312" w:cs="仿宋_GB2312"/>
                <w:color w:val="000000"/>
                <w:kern w:val="0"/>
                <w:sz w:val="20"/>
                <w:szCs w:val="20"/>
                <w:highlight w:val="none"/>
                <w:lang w:val="en-US" w:eastAsia="zh-CN" w:bidi="ar-SA"/>
              </w:rPr>
            </w:pPr>
          </w:p>
        </w:tc>
        <w:tc>
          <w:tcPr>
            <w:tcW w:w="982" w:type="dxa"/>
            <w:tcBorders>
              <w:top w:val="nil"/>
              <w:left w:val="nil"/>
              <w:bottom w:val="single" w:color="auto" w:sz="4" w:space="0"/>
              <w:right w:val="single" w:color="auto" w:sz="4" w:space="0"/>
            </w:tcBorders>
            <w:noWrap w:val="0"/>
            <w:vAlign w:val="center"/>
          </w:tcPr>
          <w:p>
            <w:pPr>
              <w:jc w:val="center"/>
              <w:rPr>
                <w:rFonts w:hint="eastAsia" w:ascii="仿宋_GB2312" w:hAnsi="仿宋_GB2312" w:eastAsia="仿宋_GB2312" w:cs="仿宋_GB2312"/>
                <w:color w:val="000000"/>
                <w:kern w:val="0"/>
                <w:sz w:val="20"/>
                <w:szCs w:val="20"/>
                <w:highlight w:val="none"/>
                <w:lang w:val="en-US" w:eastAsia="zh-CN" w:bidi="ar-SA"/>
              </w:rPr>
            </w:pPr>
          </w:p>
        </w:tc>
        <w:tc>
          <w:tcPr>
            <w:tcW w:w="1268" w:type="dxa"/>
            <w:tcBorders>
              <w:top w:val="nil"/>
              <w:left w:val="nil"/>
              <w:bottom w:val="single" w:color="auto" w:sz="4" w:space="0"/>
              <w:right w:val="single" w:color="auto" w:sz="4" w:space="0"/>
            </w:tcBorders>
            <w:noWrap w:val="0"/>
            <w:vAlign w:val="center"/>
          </w:tcPr>
          <w:p>
            <w:pPr>
              <w:jc w:val="center"/>
              <w:rPr>
                <w:rFonts w:hint="eastAsia" w:ascii="仿宋_GB2312" w:hAnsi="仿宋_GB2312" w:eastAsia="仿宋_GB2312" w:cs="仿宋_GB2312"/>
                <w:color w:val="000000"/>
                <w:kern w:val="0"/>
                <w:sz w:val="20"/>
                <w:szCs w:val="20"/>
                <w:highlight w:val="none"/>
                <w:lang w:val="en-US" w:eastAsia="zh-CN" w:bidi="ar-SA"/>
              </w:rPr>
            </w:pP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p>
        </w:tc>
        <w:tc>
          <w:tcPr>
            <w:tcW w:w="79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p>
        </w:tc>
        <w:tc>
          <w:tcPr>
            <w:tcW w:w="151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trHeight w:val="290" w:hRule="atLeast"/>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8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93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kern w:val="0"/>
                <w:sz w:val="20"/>
                <w:szCs w:val="20"/>
                <w:highlight w:val="none"/>
                <w:lang w:val="en-US" w:eastAsia="zh-CN" w:bidi="ar-SA"/>
              </w:rPr>
              <w:t>维护社会治安环境，保持社会长期和谐安宁</w:t>
            </w:r>
          </w:p>
        </w:tc>
        <w:tc>
          <w:tcPr>
            <w:tcW w:w="982"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kern w:val="0"/>
                <w:sz w:val="20"/>
                <w:szCs w:val="20"/>
                <w:highlight w:val="none"/>
                <w:lang w:val="en-US" w:eastAsia="zh-CN" w:bidi="ar-SA"/>
              </w:rPr>
              <w:t>促进</w:t>
            </w:r>
          </w:p>
        </w:tc>
        <w:tc>
          <w:tcPr>
            <w:tcW w:w="126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kern w:val="0"/>
                <w:sz w:val="20"/>
                <w:szCs w:val="20"/>
                <w:highlight w:val="none"/>
                <w:lang w:val="en-US" w:eastAsia="zh-CN" w:bidi="ar-SA"/>
              </w:rPr>
              <w:t>有效促进</w:t>
            </w:r>
          </w:p>
        </w:tc>
        <w:tc>
          <w:tcPr>
            <w:tcW w:w="8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79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366"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873"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9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kern w:val="0"/>
                <w:sz w:val="20"/>
                <w:szCs w:val="20"/>
                <w:highlight w:val="none"/>
                <w:lang w:val="en-US" w:eastAsia="zh-CN" w:bidi="ar-SA"/>
              </w:rPr>
              <w:t>群众满意度</w:t>
            </w:r>
          </w:p>
        </w:tc>
        <w:tc>
          <w:tcPr>
            <w:tcW w:w="982"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kern w:val="0"/>
                <w:sz w:val="20"/>
                <w:szCs w:val="20"/>
                <w:highlight w:val="none"/>
                <w:lang w:val="en-US" w:eastAsia="zh-CN" w:bidi="ar-SA"/>
              </w:rPr>
              <w:t>98%</w:t>
            </w:r>
          </w:p>
        </w:tc>
        <w:tc>
          <w:tcPr>
            <w:tcW w:w="1268"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kern w:val="0"/>
                <w:sz w:val="20"/>
                <w:szCs w:val="20"/>
                <w:highlight w:val="none"/>
                <w:lang w:val="en-US" w:eastAsia="zh-CN" w:bidi="ar-SA"/>
              </w:rPr>
              <w:t>98%</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79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51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270"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873" w:type="dxa"/>
            <w:vMerge w:val="continue"/>
            <w:tcBorders>
              <w:top w:val="single" w:color="auto" w:sz="4" w:space="0"/>
              <w:left w:val="nil"/>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936" w:type="dxa"/>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color w:val="000000"/>
                <w:sz w:val="20"/>
                <w:szCs w:val="20"/>
                <w:highlight w:val="none"/>
                <w:lang w:val="en-US" w:eastAsia="zh-CN"/>
              </w:rPr>
            </w:pPr>
          </w:p>
        </w:tc>
        <w:tc>
          <w:tcPr>
            <w:tcW w:w="982"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0"/>
                <w:szCs w:val="20"/>
                <w:highlight w:val="none"/>
                <w:lang w:val="en-US" w:eastAsia="zh-CN"/>
              </w:rPr>
            </w:pPr>
          </w:p>
        </w:tc>
        <w:tc>
          <w:tcPr>
            <w:tcW w:w="1268"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0"/>
                <w:szCs w:val="20"/>
                <w:highlight w:val="none"/>
                <w:lang w:val="en-US" w:eastAsia="zh-CN"/>
              </w:rPr>
            </w:pP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p>
        </w:tc>
        <w:tc>
          <w:tcPr>
            <w:tcW w:w="79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p>
        </w:tc>
        <w:tc>
          <w:tcPr>
            <w:tcW w:w="151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trHeight w:val="270" w:hRule="atLeast"/>
          <w:jc w:val="center"/>
        </w:trPr>
        <w:tc>
          <w:tcPr>
            <w:tcW w:w="7219" w:type="dxa"/>
            <w:gridSpan w:val="6"/>
            <w:tcBorders>
              <w:top w:val="single" w:color="auto" w:sz="4" w:space="0"/>
              <w:left w:val="single" w:color="auto" w:sz="4" w:space="0"/>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791"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99</w:t>
            </w:r>
          </w:p>
        </w:tc>
        <w:tc>
          <w:tcPr>
            <w:tcW w:w="1517"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spacing w:before="120" w:beforeLines="50" w:after="120" w:afterLines="50"/>
        <w:jc w:val="center"/>
        <w:rPr>
          <w:rFonts w:hint="eastAsia"/>
        </w:rPr>
        <w:sectPr>
          <w:pgSz w:w="11906" w:h="16838"/>
          <w:pgMar w:top="1440" w:right="1800" w:bottom="1440" w:left="1800" w:header="851" w:footer="992" w:gutter="0"/>
          <w:cols w:space="425" w:num="1"/>
          <w:docGrid w:type="lines" w:linePitch="312" w:charSpace="0"/>
        </w:sectPr>
      </w:pPr>
      <w:r>
        <w:rPr>
          <w:rFonts w:hint="default" w:ascii="Times New Roman" w:hAnsi="Times New Roman" w:eastAsia="仿宋_GB2312" w:cs="Times New Roman"/>
          <w:sz w:val="22"/>
          <w:szCs w:val="22"/>
          <w:highlight w:val="none"/>
        </w:rPr>
        <w:t xml:space="preserve">填表人：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    填报日期：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     联系电话：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单位负责人签字</w:t>
      </w:r>
      <w:r>
        <w:rPr>
          <w:rFonts w:hint="eastAsia" w:ascii="Times New Roman" w:hAnsi="Times New Roman" w:eastAsia="仿宋_GB2312" w:cs="Times New Roman"/>
          <w:sz w:val="22"/>
          <w:szCs w:val="22"/>
          <w:highlight w:val="none"/>
          <w:lang w:eastAsia="zh-CN"/>
        </w:rPr>
        <w:t>：</w:t>
      </w:r>
    </w:p>
    <w:p>
      <w:pPr>
        <w:spacing w:before="120" w:beforeLines="50" w:after="120" w:afterLines="50"/>
        <w:ind w:firstLine="720" w:firstLineChars="200"/>
        <w:jc w:val="both"/>
        <w:rPr>
          <w:rFonts w:hint="eastAsia" w:ascii="方正小标宋简体" w:hAnsi="方正小标宋简体" w:eastAsia="方正小标宋简体" w:cs="方正小标宋简体"/>
          <w:spacing w:val="-6"/>
          <w:sz w:val="36"/>
          <w:szCs w:val="36"/>
          <w:highlight w:val="none"/>
        </w:rPr>
      </w:pPr>
      <w:r>
        <w:rPr>
          <w:rFonts w:hint="eastAsia" w:ascii="方正小标宋简体" w:hAnsi="方正小标宋简体" w:eastAsia="方正小标宋简体" w:cs="方正小标宋简体"/>
          <w:sz w:val="36"/>
          <w:szCs w:val="36"/>
          <w:highlight w:val="none"/>
          <w:lang w:eastAsia="zh-CN"/>
        </w:rPr>
        <w:t>部</w:t>
      </w:r>
      <w:r>
        <w:rPr>
          <w:rFonts w:hint="eastAsia" w:ascii="方正小标宋简体" w:hAnsi="方正小标宋简体" w:eastAsia="方正小标宋简体" w:cs="方正小标宋简体"/>
          <w:sz w:val="36"/>
          <w:szCs w:val="36"/>
          <w:highlight w:val="none"/>
        </w:rPr>
        <w:t>门整体支出</w:t>
      </w:r>
      <w:r>
        <w:rPr>
          <w:rFonts w:hint="eastAsia" w:ascii="方正小标宋简体" w:hAnsi="方正小标宋简体" w:eastAsia="方正小标宋简体" w:cs="方正小标宋简体"/>
          <w:spacing w:val="-6"/>
          <w:sz w:val="36"/>
          <w:szCs w:val="36"/>
          <w:highlight w:val="none"/>
        </w:rPr>
        <w:t>绩效自评工作考核评分表</w:t>
      </w:r>
    </w:p>
    <w:tbl>
      <w:tblPr>
        <w:tblStyle w:val="6"/>
        <w:tblW w:w="9941" w:type="dxa"/>
        <w:jc w:val="center"/>
        <w:tblLayout w:type="fixed"/>
        <w:tblCellMar>
          <w:top w:w="0" w:type="dxa"/>
          <w:left w:w="108" w:type="dxa"/>
          <w:bottom w:w="0" w:type="dxa"/>
          <w:right w:w="108" w:type="dxa"/>
        </w:tblCellMar>
      </w:tblPr>
      <w:tblGrid>
        <w:gridCol w:w="745"/>
        <w:gridCol w:w="1174"/>
        <w:gridCol w:w="5000"/>
        <w:gridCol w:w="3022"/>
      </w:tblGrid>
      <w:tr>
        <w:tblPrEx>
          <w:tblCellMar>
            <w:top w:w="0" w:type="dxa"/>
            <w:left w:w="108" w:type="dxa"/>
            <w:bottom w:w="0" w:type="dxa"/>
            <w:right w:w="108" w:type="dxa"/>
          </w:tblCellMar>
        </w:tblPrEx>
        <w:trPr>
          <w:tblHeader/>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一级指标</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二级指标</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评分标准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所需佐证材料</w:t>
            </w:r>
          </w:p>
        </w:tc>
      </w:tr>
      <w:tr>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布置工作</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1174" w:type="dxa"/>
            <w:tcBorders>
              <w:top w:val="single" w:color="auto" w:sz="4" w:space="0"/>
              <w:left w:val="nil"/>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自评通知</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（8分）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印发绩效自评通知的得2分，否则不得分。</w:t>
            </w:r>
          </w:p>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按照本规程规定，绩效自评通知包括自评范围、自评主要依据、自评主要内容、自评程序和步骤、有关要求等内容，并附有本通知要求的附件的，得6分；否则缺1项扣1分，最多扣6分。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绩效自评通知盖章的电子版</w:t>
            </w:r>
          </w:p>
        </w:tc>
      </w:tr>
      <w:tr>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工作小组</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成立绩效自评工作小组的得2分，否则不得分。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本部门、本单位预算绩效管理领导小组</w:t>
            </w:r>
            <w:r>
              <w:rPr>
                <w:rFonts w:hint="default" w:ascii="Times New Roman" w:hAnsi="Times New Roman" w:eastAsia="仿宋_GB2312" w:cs="Times New Roman"/>
                <w:spacing w:val="0"/>
                <w:sz w:val="20"/>
                <w:szCs w:val="20"/>
                <w:highlight w:val="none"/>
                <w:lang w:val="en-US" w:eastAsia="zh-CN"/>
              </w:rPr>
              <w:t>/</w:t>
            </w:r>
            <w:r>
              <w:rPr>
                <w:rFonts w:hint="default" w:ascii="Times New Roman" w:hAnsi="Times New Roman" w:eastAsia="仿宋_GB2312" w:cs="Times New Roman"/>
                <w:sz w:val="20"/>
                <w:szCs w:val="20"/>
                <w:highlight w:val="none"/>
              </w:rPr>
              <w:t>绩效评价工作小组</w:t>
            </w:r>
            <w:r>
              <w:rPr>
                <w:rFonts w:hint="default" w:ascii="Times New Roman" w:hAnsi="Times New Roman" w:eastAsia="仿宋_GB2312" w:cs="Times New Roman"/>
                <w:sz w:val="20"/>
                <w:szCs w:val="20"/>
                <w:highlight w:val="none"/>
                <w:lang w:eastAsia="zh-CN"/>
              </w:rPr>
              <w:t>有关</w:t>
            </w:r>
            <w:r>
              <w:rPr>
                <w:rFonts w:hint="default" w:ascii="Times New Roman" w:hAnsi="Times New Roman" w:eastAsia="仿宋_GB2312" w:cs="Times New Roman"/>
                <w:spacing w:val="0"/>
                <w:sz w:val="20"/>
                <w:szCs w:val="20"/>
                <w:highlight w:val="none"/>
              </w:rPr>
              <w:t>文件</w:t>
            </w:r>
            <w:r>
              <w:rPr>
                <w:rFonts w:hint="default" w:ascii="Times New Roman" w:hAnsi="Times New Roman" w:eastAsia="仿宋_GB2312" w:cs="Times New Roman"/>
                <w:sz w:val="20"/>
                <w:szCs w:val="20"/>
                <w:highlight w:val="none"/>
              </w:rPr>
              <w:t>盖章的电子版</w:t>
            </w:r>
          </w:p>
        </w:tc>
      </w:tr>
      <w:tr>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实施评价</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单位自查</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eastAsia" w:ascii="Times New Roman" w:hAnsi="Times New Roman" w:eastAsia="仿宋_GB2312" w:cs="Times New Roman"/>
                <w:sz w:val="20"/>
                <w:szCs w:val="20"/>
                <w:highlight w:val="none"/>
                <w:lang w:eastAsia="zh-CN"/>
              </w:rPr>
              <w:t>市级</w:t>
            </w:r>
            <w:r>
              <w:rPr>
                <w:rFonts w:hint="default" w:ascii="Times New Roman" w:hAnsi="Times New Roman" w:eastAsia="仿宋_GB2312" w:cs="Times New Roman"/>
                <w:sz w:val="20"/>
                <w:szCs w:val="20"/>
                <w:highlight w:val="none"/>
              </w:rPr>
              <w:t>预算部门本级和所属单位都要开展绩效自查，转移支付项目单位都要开展绩效自查，</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级主管部门都要汇总本区域转移支付情况；以上各项每发现一个单位没有做相应工作的，扣1分，最多扣10分。</w:t>
            </w:r>
          </w:p>
        </w:tc>
        <w:tc>
          <w:tcPr>
            <w:tcW w:w="3022" w:type="dxa"/>
            <w:tcBorders>
              <w:top w:val="single" w:color="auto" w:sz="4" w:space="0"/>
              <w:left w:val="nil"/>
              <w:bottom w:val="single" w:color="auto" w:sz="4" w:space="0"/>
              <w:right w:val="single" w:color="auto" w:sz="4" w:space="0"/>
            </w:tcBorders>
            <w:noWrap w:val="0"/>
            <w:vAlign w:val="center"/>
          </w:tcPr>
          <w:p>
            <w:pPr>
              <w:numPr>
                <w:ilvl w:val="0"/>
                <w:numId w:val="2"/>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转移支付项目单位名称和资</w:t>
            </w:r>
            <w:r>
              <w:rPr>
                <w:rFonts w:hint="eastAsia" w:ascii="Times New Roman" w:hAnsi="Times New Roman" w:eastAsia="仿宋_GB2312" w:cs="Times New Roman"/>
                <w:sz w:val="20"/>
                <w:szCs w:val="20"/>
                <w:highlight w:val="none"/>
                <w:lang w:val="en-US" w:eastAsia="zh-CN"/>
              </w:rPr>
              <w:t xml:space="preserve"> </w:t>
            </w:r>
            <w:r>
              <w:rPr>
                <w:rFonts w:hint="default" w:ascii="Times New Roman" w:hAnsi="Times New Roman" w:eastAsia="仿宋_GB2312" w:cs="Times New Roman"/>
                <w:sz w:val="20"/>
                <w:szCs w:val="20"/>
                <w:highlight w:val="none"/>
              </w:rPr>
              <w:t>金情况清单</w:t>
            </w:r>
          </w:p>
          <w:p>
            <w:pPr>
              <w:numPr>
                <w:ilvl w:val="0"/>
                <w:numId w:val="2"/>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有转移支付资金的各</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主管部门汇总情况的盖章PDF版　</w:t>
            </w:r>
          </w:p>
        </w:tc>
      </w:tr>
      <w:tr>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nil"/>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提交报告</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8022" w:type="dxa"/>
            <w:gridSpan w:val="2"/>
            <w:tcBorders>
              <w:top w:val="nil"/>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按时向</w:t>
            </w:r>
            <w:r>
              <w:rPr>
                <w:rFonts w:hint="eastAsia" w:ascii="Times New Roman" w:hAnsi="Times New Roman" w:eastAsia="仿宋_GB2312" w:cs="Times New Roman"/>
                <w:sz w:val="20"/>
                <w:szCs w:val="20"/>
                <w:highlight w:val="none"/>
                <w:lang w:eastAsia="zh-CN"/>
              </w:rPr>
              <w:t>市财政局</w:t>
            </w:r>
            <w:r>
              <w:rPr>
                <w:rFonts w:hint="default" w:ascii="Times New Roman" w:hAnsi="Times New Roman" w:eastAsia="仿宋_GB2312" w:cs="Times New Roman"/>
                <w:sz w:val="20"/>
                <w:szCs w:val="20"/>
                <w:highlight w:val="none"/>
              </w:rPr>
              <w:t>报送报告的得10分；每推迟一个工作日报送报告的扣1分，最多扣10分。</w:t>
            </w:r>
          </w:p>
        </w:tc>
      </w:tr>
      <w:tr>
        <w:tblPrEx>
          <w:tblCellMar>
            <w:top w:w="0" w:type="dxa"/>
            <w:left w:w="108" w:type="dxa"/>
            <w:bottom w:w="0" w:type="dxa"/>
            <w:right w:w="108" w:type="dxa"/>
          </w:tblCellMar>
        </w:tblPrEx>
        <w:trPr>
          <w:trHeight w:val="740" w:hRule="atLeast"/>
          <w:jc w:val="center"/>
        </w:trPr>
        <w:tc>
          <w:tcPr>
            <w:tcW w:w="745"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自评报告</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70分</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完整性</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绩效自评报告正文部分内容齐全的，得8分；否则每少一个部分扣2分，最多扣8分。</w:t>
            </w:r>
          </w:p>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绩效自评报告附件部分内容齐全的，得7分；否则每少一个部分扣2分，最多扣7分。</w:t>
            </w:r>
          </w:p>
        </w:tc>
      </w:tr>
      <w:tr>
        <w:tblPrEx>
          <w:tblCellMar>
            <w:top w:w="0" w:type="dxa"/>
            <w:left w:w="108" w:type="dxa"/>
            <w:bottom w:w="0" w:type="dxa"/>
            <w:right w:w="108" w:type="dxa"/>
          </w:tblCellMar>
        </w:tblPrEx>
        <w:trPr>
          <w:trHeight w:val="2143"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自评表</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1、部门整体支出和项目支出绩效指标反映产出、效益、服务对象满意度方面的指标和预算执行率的权重符合《</w:t>
            </w:r>
            <w:r>
              <w:rPr>
                <w:rFonts w:hint="eastAsia" w:ascii="Times New Roman" w:hAnsi="Times New Roman" w:eastAsia="仿宋_GB2312" w:cs="Times New Roman"/>
                <w:sz w:val="20"/>
                <w:szCs w:val="20"/>
                <w:highlight w:val="none"/>
                <w:lang w:eastAsia="zh-CN"/>
              </w:rPr>
              <w:t>岳阳市市级</w:t>
            </w:r>
            <w:r>
              <w:rPr>
                <w:rFonts w:hint="default" w:ascii="Times New Roman" w:hAnsi="Times New Roman" w:eastAsia="仿宋_GB2312" w:cs="Times New Roman"/>
                <w:sz w:val="20"/>
                <w:szCs w:val="20"/>
                <w:highlight w:val="none"/>
              </w:rPr>
              <w:t>预算部门绩效自评操作规程》要求的，得5分，否则按比例扣除相应的分数。</w:t>
            </w:r>
          </w:p>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部门整体支出和项目支出绩效指标全部细化到三级指标的，得5分；部分细化的，酌情扣分；没有细化的，不得分。</w:t>
            </w:r>
          </w:p>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3</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三级绩效指标内涵明确、具体、可衡量的得5分；突出核心指标，精简实用的得3分；指标与部门整体支出和项目支出密切相关，全面反映产出和效益的得2分；否则，每项酌情扣分，最多扣10分。</w:t>
            </w:r>
          </w:p>
        </w:tc>
      </w:tr>
      <w:tr>
        <w:tblPrEx>
          <w:tblCellMar>
            <w:top w:w="0" w:type="dxa"/>
            <w:left w:w="108" w:type="dxa"/>
            <w:bottom w:w="0" w:type="dxa"/>
            <w:right w:w="108" w:type="dxa"/>
          </w:tblCellMar>
        </w:tblPrEx>
        <w:trPr>
          <w:trHeight w:val="119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jc w:val="center"/>
              <w:rPr>
                <w:rFonts w:hint="default" w:ascii="Times New Roman" w:hAnsi="Times New Roman" w:cs="Times New Roman"/>
                <w:highlight w:val="none"/>
              </w:rPr>
            </w:pPr>
          </w:p>
          <w:p>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反映问</w:t>
            </w:r>
          </w:p>
          <w:p>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题情况</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从预算和预算绩效管理，部门履职效能，资金分配、使用和管理，资产和财务管理，政府采购等方面归纳问题、分析原因全面的，得20分；反映问题、分析原因较全面的，得16—18分；反映问题、分析原因不全面的，得13—15分；问题未归纳且过于简单的，得10—12分；只提出资金不足问题的不得分；其他情况酌情扣分。　</w:t>
            </w:r>
          </w:p>
        </w:tc>
      </w:tr>
      <w:tr>
        <w:tblPrEx>
          <w:tblCellMar>
            <w:top w:w="0" w:type="dxa"/>
            <w:left w:w="108" w:type="dxa"/>
            <w:bottom w:w="0" w:type="dxa"/>
            <w:right w:w="108" w:type="dxa"/>
          </w:tblCellMar>
        </w:tblPrEx>
        <w:trPr>
          <w:trHeight w:val="62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建议情况</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建议与问题对应且全面的得15分，建议比较全面的得12—14分，建议不全面的得9—11分，建议过于简单的得6—8分，只提出加大资金投入建议的不得分；其他情况酌情扣分。</w:t>
            </w:r>
          </w:p>
        </w:tc>
      </w:tr>
      <w:tr>
        <w:tblPrEx>
          <w:tblCellMar>
            <w:top w:w="0" w:type="dxa"/>
            <w:left w:w="108" w:type="dxa"/>
            <w:bottom w:w="0" w:type="dxa"/>
            <w:right w:w="108" w:type="dxa"/>
          </w:tblCellMar>
        </w:tblPrEx>
        <w:trPr>
          <w:trHeight w:val="495"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合计</w:t>
            </w:r>
          </w:p>
        </w:tc>
        <w:tc>
          <w:tcPr>
            <w:tcW w:w="1174"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100分</w:t>
            </w:r>
          </w:p>
        </w:tc>
        <w:tc>
          <w:tcPr>
            <w:tcW w:w="8022" w:type="dxa"/>
            <w:gridSpan w:val="2"/>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lang w:val="en-US" w:eastAsia="zh-CN"/>
              </w:rPr>
            </w:pPr>
            <w:r>
              <w:rPr>
                <w:rFonts w:hint="default" w:ascii="Times New Roman" w:hAnsi="Times New Roman" w:eastAsia="仿宋_GB2312" w:cs="Times New Roman"/>
                <w:sz w:val="20"/>
                <w:szCs w:val="20"/>
                <w:highlight w:val="none"/>
              </w:rPr>
              <w:t>　</w:t>
            </w:r>
            <w:r>
              <w:rPr>
                <w:rFonts w:hint="eastAsia" w:ascii="Times New Roman" w:hAnsi="Times New Roman" w:eastAsia="仿宋_GB2312" w:cs="Times New Roman"/>
                <w:sz w:val="20"/>
                <w:szCs w:val="20"/>
                <w:highlight w:val="none"/>
                <w:lang w:val="en-US" w:eastAsia="zh-CN"/>
              </w:rPr>
              <w:t>99.5</w:t>
            </w:r>
          </w:p>
        </w:tc>
      </w:tr>
    </w:tbl>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panose1 w:val="00000600000000000000"/>
    <w:charset w:val="86"/>
    <w:family w:val="auto"/>
    <w:pitch w:val="default"/>
    <w:sig w:usb0="800002BF" w:usb1="184F6CF8" w:usb2="00000012" w:usb3="00000000" w:csb0="00160001" w:csb1="12030000"/>
  </w:font>
  <w:font w:name="方正小标宋_GBK">
    <w:altName w:val="微软雅黑"/>
    <w:panose1 w:val="02000000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8A8D352"/>
    <w:multiLevelType w:val="singleLevel"/>
    <w:tmpl w:val="48A8D352"/>
    <w:lvl w:ilvl="0" w:tentative="0">
      <w:start w:val="2"/>
      <w:numFmt w:val="chineseCounting"/>
      <w:suff w:val="nothing"/>
      <w:lvlText w:val="（%1）"/>
      <w:lvlJc w:val="left"/>
      <w:rPr>
        <w:rFonts w:hint="eastAsia"/>
      </w:rPr>
    </w:lvl>
  </w:abstractNum>
  <w:abstractNum w:abstractNumId="1">
    <w:nsid w:val="5DDF8822"/>
    <w:multiLevelType w:val="singleLevel"/>
    <w:tmpl w:val="5DDF8822"/>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1ZDg1MjQyMWM5NGNiNzE1YmE2OTlhMTU3MzM4MzAifQ=="/>
  </w:docVars>
  <w:rsids>
    <w:rsidRoot w:val="59886344"/>
    <w:rsid w:val="07DC141F"/>
    <w:rsid w:val="08421719"/>
    <w:rsid w:val="0D735465"/>
    <w:rsid w:val="13360EF0"/>
    <w:rsid w:val="13C02C80"/>
    <w:rsid w:val="13CA2703"/>
    <w:rsid w:val="171657DF"/>
    <w:rsid w:val="186F154E"/>
    <w:rsid w:val="1A803D0D"/>
    <w:rsid w:val="1D6357BE"/>
    <w:rsid w:val="1FA431B2"/>
    <w:rsid w:val="20362A4E"/>
    <w:rsid w:val="20B850A8"/>
    <w:rsid w:val="21132EE8"/>
    <w:rsid w:val="21A84623"/>
    <w:rsid w:val="23810484"/>
    <w:rsid w:val="24C63360"/>
    <w:rsid w:val="261F7E95"/>
    <w:rsid w:val="299322B8"/>
    <w:rsid w:val="2A6401B8"/>
    <w:rsid w:val="2CA04E47"/>
    <w:rsid w:val="2D22764F"/>
    <w:rsid w:val="2EBD258D"/>
    <w:rsid w:val="2EFC30B5"/>
    <w:rsid w:val="335079DD"/>
    <w:rsid w:val="340A3386"/>
    <w:rsid w:val="35260E8C"/>
    <w:rsid w:val="35AC6394"/>
    <w:rsid w:val="3688482F"/>
    <w:rsid w:val="37105A48"/>
    <w:rsid w:val="38376F0C"/>
    <w:rsid w:val="3B046B78"/>
    <w:rsid w:val="3D934BE4"/>
    <w:rsid w:val="3DAE7C70"/>
    <w:rsid w:val="3E027FBC"/>
    <w:rsid w:val="3EA949A3"/>
    <w:rsid w:val="400B05F7"/>
    <w:rsid w:val="41801923"/>
    <w:rsid w:val="46270E21"/>
    <w:rsid w:val="46BE415C"/>
    <w:rsid w:val="47F12FCE"/>
    <w:rsid w:val="48895562"/>
    <w:rsid w:val="4B7F2C4C"/>
    <w:rsid w:val="50263E67"/>
    <w:rsid w:val="5156444F"/>
    <w:rsid w:val="52E57838"/>
    <w:rsid w:val="53DA21AF"/>
    <w:rsid w:val="54994D7E"/>
    <w:rsid w:val="56ED315F"/>
    <w:rsid w:val="586C030E"/>
    <w:rsid w:val="59886344"/>
    <w:rsid w:val="5B310598"/>
    <w:rsid w:val="605A7513"/>
    <w:rsid w:val="629B4C99"/>
    <w:rsid w:val="634E4836"/>
    <w:rsid w:val="673D3495"/>
    <w:rsid w:val="68D872F0"/>
    <w:rsid w:val="699C28B0"/>
    <w:rsid w:val="69C67397"/>
    <w:rsid w:val="70383DAA"/>
    <w:rsid w:val="71125037"/>
    <w:rsid w:val="71730628"/>
    <w:rsid w:val="71F72FE9"/>
    <w:rsid w:val="72630EE2"/>
    <w:rsid w:val="73232BFD"/>
    <w:rsid w:val="73B52DFF"/>
    <w:rsid w:val="73DB2866"/>
    <w:rsid w:val="740B386F"/>
    <w:rsid w:val="786B7A0A"/>
    <w:rsid w:val="790B3E5A"/>
    <w:rsid w:val="7C927A54"/>
    <w:rsid w:val="7ED10B84"/>
    <w:rsid w:val="7F4E4837"/>
    <w:rsid w:val="DFEF8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仿宋" w:hAnsi="仿宋" w:eastAsia="宋体" w:cs="Times New Roman"/>
      <w:kern w:val="0"/>
      <w:sz w:val="28"/>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样式2"/>
    <w:basedOn w:val="1"/>
    <w:autoRedefine/>
    <w:qFormat/>
    <w:uiPriority w:val="0"/>
    <w:pPr>
      <w:widowControl/>
      <w:shd w:val="clear" w:color="auto" w:fill="FFFFFF"/>
      <w:spacing w:before="100" w:beforeAutospacing="1" w:after="100" w:afterAutospacing="1"/>
      <w:ind w:left="562"/>
      <w:jc w:val="center"/>
    </w:pPr>
    <w:rPr>
      <w:rFonts w:ascii="宋体" w:hAnsi="宋体"/>
      <w:b/>
      <w:bCs/>
      <w:szCs w:val="21"/>
    </w:rPr>
  </w:style>
  <w:style w:type="paragraph" w:styleId="3">
    <w:name w:val="Normal Indent"/>
    <w:basedOn w:val="1"/>
    <w:qFormat/>
    <w:uiPriority w:val="0"/>
    <w:pPr>
      <w:ind w:firstLine="420" w:firstLineChars="200"/>
    </w:pPr>
  </w:style>
  <w:style w:type="paragraph" w:styleId="4">
    <w:name w:val="Body Text"/>
    <w:basedOn w:val="1"/>
    <w:autoRedefine/>
    <w:semiHidden/>
    <w:qFormat/>
    <w:uiPriority w:val="0"/>
    <w:rPr>
      <w:rFonts w:ascii="仿宋" w:hAnsi="仿宋" w:eastAsia="仿宋" w:cs="仿宋"/>
      <w:sz w:val="31"/>
      <w:szCs w:val="31"/>
      <w:lang w:val="en-US" w:eastAsia="en-US" w:bidi="ar-SA"/>
    </w:rPr>
  </w:style>
  <w:style w:type="paragraph" w:styleId="5">
    <w:name w:val="Normal (Web)"/>
    <w:basedOn w:val="1"/>
    <w:autoRedefine/>
    <w:semiHidden/>
    <w:unhideWhenUsed/>
    <w:qFormat/>
    <w:uiPriority w:val="99"/>
    <w:pPr>
      <w:spacing w:before="0" w:beforeAutospacing="1" w:after="0" w:afterAutospacing="1"/>
      <w:ind w:left="0" w:right="0"/>
      <w:jc w:val="left"/>
    </w:pPr>
    <w:rPr>
      <w:kern w:val="0"/>
      <w:sz w:val="24"/>
      <w:lang w:val="en-US" w:eastAsia="zh-CN" w:bidi="ar"/>
    </w:rPr>
  </w:style>
  <w:style w:type="paragraph" w:customStyle="1" w:styleId="8">
    <w:name w:val="列出段落1"/>
    <w:basedOn w:val="1"/>
    <w:qFormat/>
    <w:uiPriority w:val="34"/>
    <w:pPr>
      <w:ind w:firstLine="420" w:firstLineChars="200"/>
    </w:pPr>
  </w:style>
  <w:style w:type="paragraph" w:styleId="9">
    <w:name w:val="List Paragraph"/>
    <w:basedOn w:val="1"/>
    <w:qFormat/>
    <w:uiPriority w:val="99"/>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5596</Words>
  <Characters>6024</Characters>
  <Lines>0</Lines>
  <Paragraphs>0</Paragraphs>
  <TotalTime>5</TotalTime>
  <ScaleCrop>false</ScaleCrop>
  <LinksUpToDate>false</LinksUpToDate>
  <CharactersWithSpaces>6183</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2024-03-18T08:36:00Z</dcterms:created>
  <dc:creator>Administrator</dc:creator>
  <cp:lastModifiedBy>口天wu</cp:lastModifiedBy>
  <dcterms:modified xsi:type="dcterms:W3CDTF">2024-07-12T02:51:45Z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6182D3A10D564617983F46DEE354AEAF</vt:lpwstr>
  </property>
</Properties>
</file>