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r>
        <w:rPr>
          <w:rFonts w:hint="eastAsia" w:ascii="黑体" w:hAnsi="黑体" w:eastAsia="黑体" w:cs="黑体"/>
          <w:sz w:val="32"/>
          <w:szCs w:val="32"/>
        </w:rPr>
        <w:t>附件4</w:t>
      </w:r>
    </w:p>
    <w:p>
      <w:pPr>
        <w:jc w:val="center"/>
        <w:rPr>
          <w:rFonts w:ascii="Times New Roman" w:hAnsi="Times New Roman" w:eastAsia="方正小标宋_GBK"/>
          <w:sz w:val="52"/>
          <w:szCs w:val="52"/>
        </w:rPr>
      </w:pPr>
    </w:p>
    <w:p>
      <w:pPr>
        <w:jc w:val="center"/>
        <w:rPr>
          <w:rFonts w:ascii="方正小标宋简体" w:hAnsi="方正小标宋简体" w:eastAsia="方正小标宋简体" w:cs="方正小标宋简体"/>
          <w:sz w:val="44"/>
          <w:szCs w:val="44"/>
        </w:rPr>
      </w:pPr>
      <w:bookmarkStart w:id="0" w:name="_GoBack"/>
      <w:r>
        <w:rPr>
          <w:rFonts w:hint="eastAsia" w:ascii="方正小标宋简体" w:hAnsi="方正小标宋简体" w:eastAsia="方正小标宋简体" w:cs="方正小标宋简体"/>
          <w:sz w:val="44"/>
          <w:szCs w:val="44"/>
        </w:rPr>
        <w:t>2023年度君山区发展和改革局整体支出</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绩效自评报告</w:t>
      </w:r>
      <w:bookmarkEnd w:id="0"/>
    </w:p>
    <w:p>
      <w:pPr>
        <w:jc w:val="center"/>
        <w:rPr>
          <w:rFonts w:ascii="Times New Roman" w:hAnsi="Times New Roman" w:eastAsia="方正小标宋_GBK"/>
          <w:b/>
          <w:sz w:val="52"/>
          <w:szCs w:val="52"/>
        </w:rPr>
      </w:pPr>
    </w:p>
    <w:p>
      <w:pPr>
        <w:jc w:val="center"/>
        <w:rPr>
          <w:rFonts w:ascii="Times New Roman" w:hAnsi="Times New Roman" w:eastAsia="楷体_GB2312"/>
          <w:b/>
          <w:sz w:val="32"/>
          <w:szCs w:val="32"/>
        </w:rPr>
      </w:pPr>
    </w:p>
    <w:p>
      <w:pPr>
        <w:jc w:val="center"/>
        <w:rPr>
          <w:rFonts w:ascii="Times New Roman" w:hAnsi="Times New Roman" w:eastAsia="楷体_GB2312"/>
          <w:b/>
          <w:sz w:val="32"/>
          <w:szCs w:val="32"/>
        </w:rPr>
      </w:pPr>
    </w:p>
    <w:p>
      <w:pPr>
        <w:jc w:val="center"/>
        <w:rPr>
          <w:rFonts w:ascii="Times New Roman" w:hAnsi="Times New Roman" w:eastAsia="楷体_GB2312"/>
          <w:b/>
          <w:sz w:val="32"/>
          <w:szCs w:val="32"/>
        </w:rPr>
      </w:pPr>
    </w:p>
    <w:p>
      <w:pPr>
        <w:jc w:val="center"/>
        <w:rPr>
          <w:rFonts w:ascii="Times New Roman" w:hAnsi="Times New Roman" w:eastAsia="楷体_GB2312"/>
          <w:b/>
          <w:sz w:val="32"/>
          <w:szCs w:val="32"/>
        </w:rPr>
      </w:pPr>
    </w:p>
    <w:p>
      <w:pPr>
        <w:jc w:val="center"/>
        <w:rPr>
          <w:rFonts w:ascii="Times New Roman" w:hAnsi="Times New Roman" w:eastAsia="楷体_GB2312"/>
          <w:b/>
          <w:sz w:val="32"/>
          <w:szCs w:val="32"/>
        </w:rPr>
      </w:pPr>
    </w:p>
    <w:p>
      <w:pPr>
        <w:jc w:val="center"/>
        <w:rPr>
          <w:rFonts w:ascii="Times New Roman" w:hAnsi="Times New Roman" w:eastAsia="楷体_GB2312"/>
          <w:b/>
          <w:sz w:val="32"/>
          <w:szCs w:val="32"/>
        </w:rPr>
      </w:pPr>
    </w:p>
    <w:p>
      <w:pPr>
        <w:jc w:val="center"/>
        <w:rPr>
          <w:rFonts w:ascii="Times New Roman" w:hAnsi="Times New Roman" w:eastAsia="黑体"/>
          <w:sz w:val="32"/>
          <w:szCs w:val="32"/>
        </w:rPr>
      </w:pPr>
    </w:p>
    <w:p>
      <w:pPr>
        <w:jc w:val="center"/>
        <w:rPr>
          <w:rFonts w:ascii="Times New Roman" w:hAnsi="Times New Roman" w:eastAsia="黑体"/>
          <w:sz w:val="32"/>
          <w:szCs w:val="32"/>
        </w:rPr>
      </w:pPr>
    </w:p>
    <w:p>
      <w:pPr>
        <w:jc w:val="center"/>
        <w:rPr>
          <w:rFonts w:ascii="Times New Roman" w:hAnsi="Times New Roman" w:eastAsia="黑体"/>
          <w:sz w:val="32"/>
          <w:szCs w:val="32"/>
        </w:rPr>
      </w:pPr>
    </w:p>
    <w:p>
      <w:pPr>
        <w:rPr>
          <w:rFonts w:ascii="Times New Roman" w:hAnsi="Times New Roman" w:eastAsia="黑体"/>
          <w:sz w:val="32"/>
          <w:szCs w:val="32"/>
        </w:rPr>
      </w:pPr>
    </w:p>
    <w:p>
      <w:pPr>
        <w:jc w:val="center"/>
        <w:rPr>
          <w:rFonts w:ascii="Times New Roman" w:hAnsi="Times New Roman" w:eastAsia="黑体"/>
          <w:sz w:val="32"/>
          <w:szCs w:val="32"/>
        </w:rPr>
      </w:pPr>
    </w:p>
    <w:p>
      <w:pPr>
        <w:jc w:val="center"/>
        <w:rPr>
          <w:rFonts w:ascii="Times New Roman" w:hAnsi="Times New Roman" w:eastAsia="黑体"/>
          <w:sz w:val="32"/>
          <w:szCs w:val="32"/>
        </w:rPr>
      </w:pPr>
    </w:p>
    <w:p>
      <w:pPr>
        <w:jc w:val="center"/>
        <w:rPr>
          <w:rFonts w:ascii="Times New Roman" w:hAnsi="Times New Roman" w:eastAsia="黑体"/>
          <w:sz w:val="32"/>
          <w:szCs w:val="32"/>
        </w:rPr>
      </w:pPr>
    </w:p>
    <w:p>
      <w:pPr>
        <w:spacing w:line="600" w:lineRule="exact"/>
        <w:jc w:val="center"/>
        <w:rPr>
          <w:rFonts w:ascii="Times New Roman" w:hAnsi="Times New Roman" w:eastAsia="仿宋_GB2312"/>
          <w:sz w:val="32"/>
          <w:szCs w:val="32"/>
          <w:u w:val="single"/>
        </w:rPr>
      </w:pPr>
      <w:r>
        <w:rPr>
          <w:rFonts w:ascii="Times New Roman" w:hAnsi="Times New Roman" w:eastAsia="仿宋_GB2312"/>
          <w:sz w:val="32"/>
          <w:szCs w:val="32"/>
        </w:rPr>
        <w:t>部门（单位）名称：岳阳市君山区发展和改革局</w:t>
      </w:r>
    </w:p>
    <w:p>
      <w:pPr>
        <w:spacing w:line="600" w:lineRule="exact"/>
        <w:jc w:val="center"/>
        <w:rPr>
          <w:rFonts w:ascii="Times New Roman" w:hAnsi="Times New Roman" w:eastAsia="楷体_GB2312"/>
          <w:sz w:val="32"/>
          <w:szCs w:val="32"/>
        </w:rPr>
      </w:pPr>
      <w:r>
        <w:rPr>
          <w:rFonts w:hint="eastAsia" w:ascii="Times New Roman" w:hAnsi="Times New Roman" w:eastAsia="楷体_GB2312"/>
          <w:sz w:val="32"/>
          <w:szCs w:val="32"/>
        </w:rPr>
        <w:t>2024</w:t>
      </w:r>
      <w:r>
        <w:rPr>
          <w:rFonts w:ascii="Times New Roman" w:hAnsi="Times New Roman" w:eastAsia="楷体_GB2312"/>
          <w:sz w:val="32"/>
          <w:szCs w:val="32"/>
        </w:rPr>
        <w:t>年</w:t>
      </w:r>
      <w:r>
        <w:rPr>
          <w:rFonts w:hint="eastAsia" w:ascii="Times New Roman" w:hAnsi="Times New Roman" w:eastAsia="楷体_GB2312"/>
          <w:sz w:val="32"/>
          <w:szCs w:val="32"/>
        </w:rPr>
        <w:t>6</w:t>
      </w:r>
      <w:r>
        <w:rPr>
          <w:rFonts w:ascii="Times New Roman" w:hAnsi="Times New Roman" w:eastAsia="楷体_GB2312"/>
          <w:sz w:val="32"/>
          <w:szCs w:val="32"/>
        </w:rPr>
        <w:t>月</w:t>
      </w:r>
      <w:r>
        <w:rPr>
          <w:rFonts w:hint="eastAsia" w:ascii="Times New Roman" w:hAnsi="Times New Roman" w:eastAsia="楷体_GB2312"/>
          <w:sz w:val="32"/>
          <w:szCs w:val="32"/>
        </w:rPr>
        <w:t>13</w:t>
      </w:r>
      <w:r>
        <w:rPr>
          <w:rFonts w:ascii="Times New Roman" w:hAnsi="Times New Roman" w:eastAsia="楷体_GB2312"/>
          <w:sz w:val="32"/>
          <w:szCs w:val="32"/>
        </w:rPr>
        <w:t>日</w:t>
      </w: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p>
    <w:p>
      <w:pPr>
        <w:jc w:val="center"/>
        <w:rPr>
          <w:rFonts w:ascii="Times New Roman" w:hAnsi="Times New Roman" w:eastAsia="仿宋_GB2312"/>
          <w:sz w:val="32"/>
          <w:szCs w:val="32"/>
        </w:rPr>
      </w:pPr>
      <w:r>
        <w:rPr>
          <w:rFonts w:hint="eastAsia" w:ascii="方正小标宋简体" w:hAnsi="方正小标宋简体" w:eastAsia="方正小标宋简体" w:cs="方正小标宋简体"/>
          <w:sz w:val="44"/>
          <w:szCs w:val="44"/>
        </w:rPr>
        <w:t>2023年度发展和改革局整体支出</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绩效自评报告</w:t>
      </w:r>
    </w:p>
    <w:p>
      <w:pPr>
        <w:spacing w:line="640" w:lineRule="exact"/>
        <w:ind w:firstLine="640" w:firstLineChars="200"/>
        <w:rPr>
          <w:rFonts w:ascii="Times New Roman" w:hAnsi="Times New Roman" w:eastAsia="仿宋_GB2312"/>
          <w:sz w:val="32"/>
          <w:szCs w:val="32"/>
        </w:rPr>
      </w:pPr>
    </w:p>
    <w:p>
      <w:pPr>
        <w:snapToGrid w:val="0"/>
        <w:spacing w:line="360" w:lineRule="auto"/>
        <w:ind w:firstLine="640"/>
        <w:rPr>
          <w:rFonts w:eastAsia="仿宋"/>
          <w:b/>
          <w:sz w:val="32"/>
          <w:szCs w:val="32"/>
        </w:rPr>
      </w:pPr>
      <w:r>
        <w:rPr>
          <w:rFonts w:eastAsia="仿宋"/>
          <w:b/>
          <w:sz w:val="32"/>
          <w:szCs w:val="32"/>
        </w:rPr>
        <w:t>一、部门（单位）基本情况</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本单位是区财政预算拨款单位，单位主要职能是拟订经济社会发展战略；加强和改善宏观调控；综合协调各项政策，推进经济体制改革；引导和监管固定资产投资；推进产业结构战略性调整和升级；促进区域协调发展；贯彻执行国家和省、市价格方针、政策和法律、法规，组织实施地方性规章;拟订全区价格政策和重大价格改革的方案，并负责组织实施;监测预测价格总水平变动，研究提出全区价格总水平调控目标和价格调控措施，并负责组织实施和综合平衡。2023年编制部门核实发改局人员编制20人，实有人数19人。本单位内</w:t>
      </w:r>
      <w:r>
        <w:rPr>
          <w:rFonts w:eastAsia="仿宋" w:cs="仿宋_GB2312"/>
          <w:bCs/>
          <w:sz w:val="32"/>
          <w:szCs w:val="32"/>
        </w:rPr>
        <w:t>设</w:t>
      </w:r>
      <w:r>
        <w:rPr>
          <w:rFonts w:hint="eastAsia" w:eastAsia="仿宋" w:cs="仿宋_GB2312"/>
          <w:bCs/>
          <w:sz w:val="32"/>
          <w:szCs w:val="32"/>
        </w:rPr>
        <w:t>8</w:t>
      </w:r>
      <w:r>
        <w:rPr>
          <w:rFonts w:eastAsia="仿宋" w:cs="仿宋_GB2312"/>
          <w:bCs/>
          <w:sz w:val="32"/>
          <w:szCs w:val="32"/>
        </w:rPr>
        <w:t>个职能股（室）</w:t>
      </w:r>
      <w:r>
        <w:rPr>
          <w:rFonts w:hint="eastAsia" w:eastAsia="仿宋" w:cs="仿宋_GB2312"/>
          <w:bCs/>
          <w:sz w:val="32"/>
          <w:szCs w:val="32"/>
        </w:rPr>
        <w:t>：</w:t>
      </w:r>
      <w:r>
        <w:rPr>
          <w:rFonts w:eastAsia="仿宋" w:cs="仿宋_GB2312"/>
          <w:bCs/>
          <w:sz w:val="32"/>
          <w:szCs w:val="32"/>
        </w:rPr>
        <w:t>办公室、法规与稽查股(加挂区公共资源交易管理委员会办公室、区招标投标管理办公室、区招标投标监督管理委员会办公室)、综合股(加挂国民经济动员办公室和装备动员办公室)、投资股、审批股、长江经济带和洞庭湖发展办公室、价格和收费管理股(加挂君山区价格调节基金管理办公室、君山区价格监督检查所)、人民防空指挥通信股。</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二、一般公共预算支出情况</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（一）基本支出情况</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2023年基本支出806.19万元，</w:t>
      </w:r>
      <w:r>
        <w:rPr>
          <w:rFonts w:eastAsia="仿宋" w:cs="仿宋_GB2312"/>
          <w:bCs/>
          <w:sz w:val="32"/>
          <w:szCs w:val="32"/>
        </w:rPr>
        <w:t>是指为保障单位机构正常运转、完成日常工作任务而发生的各项支出，包括用于基本工资、津贴补贴等人员经费以及办公费、印刷费、水电费、办公设备购置等日常公用经费。</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（二）项目支出情况</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1、专项资金安排落实、总投入等情况分析：本年专项支出560万元。其中，拨团湖水环境治理资金450万元；企业奖励资金110万元。</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2、专项资金实际使用情况分析：本年专项资金共计支出560万元，与上年度持平。</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3、专项资金管理情况分析：评价小组对项目资金管理进行了现场评价，评价表明：1）资金支付依据合法合规，资金审批程序严格；2）项目资金做到专款专用。</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三、政府性基金预算支出情况</w:t>
      </w:r>
    </w:p>
    <w:p>
      <w:pPr>
        <w:pStyle w:val="10"/>
        <w:widowControl/>
        <w:snapToGrid w:val="0"/>
        <w:spacing w:line="360" w:lineRule="auto"/>
        <w:ind w:firstLine="640"/>
        <w:rPr>
          <w:rFonts w:ascii="仿宋" w:hAnsi="仿宋" w:eastAsia="仿宋" w:cs="仿宋_GB2312"/>
          <w:bCs/>
          <w:sz w:val="32"/>
          <w:szCs w:val="32"/>
        </w:rPr>
      </w:pPr>
      <w:r>
        <w:rPr>
          <w:rFonts w:hint="eastAsia" w:ascii="仿宋" w:hAnsi="仿宋" w:eastAsia="仿宋" w:cs="仿宋_GB2312"/>
          <w:bCs/>
          <w:sz w:val="32"/>
          <w:szCs w:val="32"/>
        </w:rPr>
        <w:t>我单位无</w:t>
      </w:r>
      <w:r>
        <w:rPr>
          <w:rFonts w:ascii="仿宋" w:hAnsi="仿宋" w:eastAsia="仿宋" w:cs="仿宋_GB2312"/>
          <w:bCs/>
          <w:sz w:val="32"/>
          <w:szCs w:val="32"/>
        </w:rPr>
        <w:t>政府性基金预算支出</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四、国有资本经营预算支出情况</w:t>
      </w:r>
    </w:p>
    <w:p>
      <w:pPr>
        <w:pStyle w:val="10"/>
        <w:widowControl/>
        <w:snapToGrid w:val="0"/>
        <w:spacing w:line="360" w:lineRule="auto"/>
        <w:ind w:firstLine="640"/>
        <w:rPr>
          <w:rFonts w:ascii="仿宋" w:hAnsi="仿宋" w:eastAsia="仿宋" w:cs="仿宋_GB2312"/>
          <w:bCs/>
          <w:sz w:val="32"/>
          <w:szCs w:val="32"/>
        </w:rPr>
      </w:pPr>
      <w:r>
        <w:rPr>
          <w:rFonts w:hint="eastAsia" w:ascii="仿宋" w:hAnsi="仿宋" w:eastAsia="仿宋" w:cs="仿宋_GB2312"/>
          <w:bCs/>
          <w:sz w:val="32"/>
          <w:szCs w:val="32"/>
        </w:rPr>
        <w:t>我单位无</w:t>
      </w:r>
      <w:r>
        <w:rPr>
          <w:rFonts w:ascii="仿宋" w:hAnsi="仿宋" w:eastAsia="仿宋" w:cs="仿宋_GB2312"/>
          <w:bCs/>
          <w:sz w:val="32"/>
          <w:szCs w:val="32"/>
        </w:rPr>
        <w:t>国有资本经营预算支出</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五、社会保险基金预算支出情况</w:t>
      </w:r>
    </w:p>
    <w:p>
      <w:pPr>
        <w:pStyle w:val="10"/>
        <w:widowControl/>
        <w:snapToGrid w:val="0"/>
        <w:spacing w:line="360" w:lineRule="auto"/>
        <w:ind w:firstLine="640"/>
        <w:rPr>
          <w:rFonts w:ascii="仿宋" w:hAnsi="仿宋" w:eastAsia="仿宋" w:cs="仿宋_GB2312"/>
          <w:bCs/>
          <w:sz w:val="32"/>
          <w:szCs w:val="32"/>
        </w:rPr>
      </w:pPr>
      <w:r>
        <w:rPr>
          <w:rFonts w:hint="eastAsia" w:ascii="仿宋" w:hAnsi="仿宋" w:eastAsia="仿宋" w:cs="仿宋_GB2312"/>
          <w:bCs/>
          <w:sz w:val="32"/>
          <w:szCs w:val="32"/>
        </w:rPr>
        <w:t>我单位无</w:t>
      </w:r>
      <w:r>
        <w:rPr>
          <w:rFonts w:ascii="仿宋" w:hAnsi="仿宋" w:eastAsia="仿宋" w:cs="仿宋_GB2312"/>
          <w:bCs/>
          <w:sz w:val="32"/>
          <w:szCs w:val="32"/>
        </w:rPr>
        <w:t>社会保险基金预算支出</w:t>
      </w:r>
    </w:p>
    <w:p>
      <w:pPr>
        <w:widowControl/>
        <w:snapToGrid w:val="0"/>
        <w:spacing w:line="360" w:lineRule="auto"/>
        <w:ind w:firstLine="643" w:firstLineChars="200"/>
        <w:rPr>
          <w:rFonts w:eastAsia="仿宋"/>
          <w:b/>
          <w:sz w:val="32"/>
          <w:szCs w:val="32"/>
        </w:rPr>
      </w:pPr>
      <w:r>
        <w:rPr>
          <w:rFonts w:eastAsia="仿宋"/>
          <w:b/>
          <w:sz w:val="32"/>
          <w:szCs w:val="32"/>
        </w:rPr>
        <w:t>六、部门整体支出绩效情况</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1、部门整体支出情况分析：2023年区发改局整体支出1366.19万元，其中基本支出806.19万元，占总支出的59.01%，人员支出313.69万元，占基本支出的38.91%，公用支出21.78万元，占基本支出的2.70%，项目支出560万元，占总支出的40.99%。</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2、三公经费支出情况分析：2023年区发改局“三公经费”预算2.4万元，实际开支0.71万元，节约预算1.69万元。</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3、固定资产管理情况分析：按照例行节约，物尽其用的原则，区发改局资产管理采取统一建账，统一核算管理，对每件固定资产使用明确保管职责，闲置的资产，由办公室统一调整，合理流动，发挥其效益；至2023年12月，固定资产账面净值</w:t>
      </w:r>
      <w:r>
        <w:rPr>
          <w:rFonts w:hint="eastAsia" w:eastAsia="仿宋" w:cs="仿宋_GB2312"/>
          <w:color w:val="000000"/>
          <w:sz w:val="32"/>
          <w:szCs w:val="32"/>
        </w:rPr>
        <w:t>18.01</w:t>
      </w:r>
      <w:r>
        <w:rPr>
          <w:rFonts w:hint="eastAsia" w:eastAsia="仿宋" w:cs="仿宋_GB2312"/>
          <w:bCs/>
          <w:sz w:val="32"/>
          <w:szCs w:val="32"/>
        </w:rPr>
        <w:t>万元。</w:t>
      </w:r>
    </w:p>
    <w:p>
      <w:pPr>
        <w:pStyle w:val="10"/>
        <w:widowControl/>
        <w:snapToGrid w:val="0"/>
        <w:spacing w:line="360" w:lineRule="auto"/>
        <w:ind w:firstLine="643"/>
        <w:rPr>
          <w:rFonts w:ascii="仿宋" w:hAnsi="仿宋" w:eastAsia="仿宋"/>
          <w:b/>
          <w:sz w:val="32"/>
          <w:szCs w:val="32"/>
        </w:rPr>
      </w:pPr>
      <w:r>
        <w:rPr>
          <w:rFonts w:ascii="仿宋" w:hAnsi="仿宋" w:eastAsia="仿宋"/>
          <w:b/>
          <w:sz w:val="32"/>
          <w:szCs w:val="32"/>
        </w:rPr>
        <w:t>七、存在的问题及原因分析</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（一）预算执行存在偏差</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年初预算对比情况看，在预算执行中，存在预算子项调剂现象。</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（二）转型发展压力较大</w:t>
      </w:r>
    </w:p>
    <w:p>
      <w:pPr>
        <w:snapToGrid w:val="0"/>
        <w:spacing w:line="360" w:lineRule="auto"/>
        <w:ind w:firstLine="640" w:firstLineChars="200"/>
        <w:rPr>
          <w:rFonts w:eastAsia="仿宋" w:cs="仿宋_GB2312"/>
          <w:bCs/>
          <w:sz w:val="32"/>
          <w:szCs w:val="32"/>
        </w:rPr>
      </w:pPr>
      <w:r>
        <w:rPr>
          <w:rFonts w:hint="eastAsia" w:eastAsia="仿宋" w:cs="仿宋_GB2312"/>
          <w:bCs/>
          <w:sz w:val="32"/>
          <w:szCs w:val="32"/>
        </w:rPr>
        <w:t>我区工业经济总量小、基数又高，工业投资继续保持稳步增长面临巨大压力。</w:t>
      </w:r>
    </w:p>
    <w:p>
      <w:pPr>
        <w:widowControl/>
        <w:snapToGrid w:val="0"/>
        <w:spacing w:line="360" w:lineRule="auto"/>
        <w:ind w:firstLine="643" w:firstLineChars="200"/>
        <w:rPr>
          <w:rFonts w:eastAsia="仿宋"/>
          <w:b/>
          <w:sz w:val="32"/>
          <w:szCs w:val="32"/>
        </w:rPr>
      </w:pPr>
      <w:r>
        <w:rPr>
          <w:rFonts w:eastAsia="仿宋"/>
          <w:b/>
          <w:sz w:val="32"/>
          <w:szCs w:val="32"/>
        </w:rPr>
        <w:t>八、下一步改进措施</w:t>
      </w:r>
    </w:p>
    <w:p>
      <w:pPr>
        <w:widowControl/>
        <w:snapToGrid w:val="0"/>
        <w:spacing w:line="360" w:lineRule="auto"/>
        <w:ind w:firstLine="640" w:firstLineChars="200"/>
        <w:rPr>
          <w:rFonts w:eastAsia="仿宋"/>
          <w:sz w:val="32"/>
          <w:szCs w:val="32"/>
        </w:rPr>
      </w:pPr>
      <w:r>
        <w:rPr>
          <w:rFonts w:hint="eastAsia" w:eastAsia="仿宋" w:cs="仿宋_GB2312"/>
          <w:bCs/>
          <w:sz w:val="32"/>
          <w:szCs w:val="32"/>
        </w:rPr>
        <w:t>科学合理编制预算，严格执行预算；加强预算编制的前瞻性，建议按照新《预算法》及其实施条例的相关规定，按政策规定及本部门的发展规划，结合预算执行情况和预算收支变化因素，科学、合理地编制下年预算草案，避免项目支出与基本支出划分不准或预算支出与实际执行出现较大偏差的情况，执行中确需调剂预算的，按规定程序报经批准。</w:t>
      </w:r>
    </w:p>
    <w:p>
      <w:pPr>
        <w:widowControl/>
        <w:snapToGrid w:val="0"/>
        <w:spacing w:line="360" w:lineRule="auto"/>
        <w:ind w:firstLine="640" w:firstLineChars="200"/>
        <w:rPr>
          <w:rFonts w:eastAsia="仿宋"/>
          <w:sz w:val="32"/>
          <w:szCs w:val="32"/>
        </w:rPr>
      </w:pPr>
      <w:r>
        <w:rPr>
          <w:rFonts w:eastAsia="仿宋"/>
          <w:sz w:val="32"/>
          <w:szCs w:val="32"/>
        </w:rPr>
        <w:t>九、部门整体支出绩效自评结果拟应用和公开情况</w:t>
      </w:r>
    </w:p>
    <w:p>
      <w:pPr>
        <w:widowControl/>
        <w:snapToGrid w:val="0"/>
        <w:spacing w:line="360" w:lineRule="auto"/>
        <w:ind w:firstLine="640" w:firstLineChars="200"/>
        <w:rPr>
          <w:rFonts w:eastAsia="仿宋" w:cs="仿宋_GB2312"/>
          <w:bCs/>
          <w:sz w:val="32"/>
          <w:szCs w:val="32"/>
        </w:rPr>
      </w:pPr>
      <w:r>
        <w:rPr>
          <w:rFonts w:hint="eastAsia" w:eastAsia="仿宋" w:cs="仿宋_GB2312"/>
          <w:bCs/>
          <w:sz w:val="32"/>
          <w:szCs w:val="32"/>
        </w:rPr>
        <w:t>我单位本次绩效评价核查结果较为优秀，这将为我单位后续绩效管理工作奠定良好的基础，提供重要的参考价值</w:t>
      </w:r>
      <w:r>
        <w:rPr>
          <w:rFonts w:eastAsia="仿宋" w:cs="仿宋_GB2312"/>
          <w:bCs/>
          <w:sz w:val="32"/>
          <w:szCs w:val="32"/>
        </w:rPr>
        <w:t>；本次绩效自评结果及相关材料将在规定时间内递交给区财政局，在经财政审核通过后，按照财政要求在门户网站公开披露本次部门整体支出绩效自评结果，接受社会公众的监督。</w:t>
      </w:r>
    </w:p>
    <w:p>
      <w:pPr>
        <w:widowControl/>
        <w:snapToGrid w:val="0"/>
        <w:spacing w:line="360" w:lineRule="auto"/>
        <w:ind w:firstLine="640" w:firstLineChars="200"/>
        <w:rPr>
          <w:rFonts w:ascii="仿宋_GB2312" w:hAnsi="仿宋_GB2312" w:eastAsia="仿宋_GB2312" w:cs="仿宋_GB2312"/>
          <w:bCs/>
          <w:sz w:val="32"/>
          <w:szCs w:val="32"/>
        </w:rPr>
      </w:pPr>
    </w:p>
    <w:p>
      <w:pPr>
        <w:widowControl/>
        <w:snapToGrid w:val="0"/>
        <w:spacing w:line="360" w:lineRule="auto"/>
        <w:rPr>
          <w:rFonts w:ascii="黑体" w:hAnsi="黑体" w:eastAsia="黑体" w:cs="黑体"/>
          <w:sz w:val="32"/>
          <w:szCs w:val="32"/>
        </w:rPr>
      </w:pPr>
      <w:r>
        <w:rPr>
          <w:rFonts w:hint="eastAsia" w:ascii="仿宋_GB2312" w:hAnsi="仿宋_GB2312" w:eastAsia="仿宋_GB2312" w:cs="仿宋_GB2312"/>
          <w:sz w:val="32"/>
          <w:szCs w:val="32"/>
        </w:rPr>
        <w:br w:type="page"/>
      </w:r>
      <w:r>
        <w:rPr>
          <w:rFonts w:hint="eastAsia" w:ascii="黑体" w:hAnsi="黑体" w:eastAsia="黑体" w:cs="黑体"/>
          <w:sz w:val="32"/>
          <w:szCs w:val="32"/>
        </w:rPr>
        <w:t>附件5</w:t>
      </w:r>
    </w:p>
    <w:p>
      <w:pPr>
        <w:spacing w:beforeLines="50" w:afterLines="50"/>
        <w:jc w:val="center"/>
        <w:rPr>
          <w:rFonts w:ascii="方正小标宋简体" w:hAnsi="方正小标宋简体" w:eastAsia="方正小标宋简体" w:cs="方正小标宋简体"/>
          <w:spacing w:val="-6"/>
          <w:sz w:val="36"/>
          <w:szCs w:val="36"/>
        </w:rPr>
      </w:pPr>
      <w:r>
        <w:rPr>
          <w:rFonts w:hint="eastAsia" w:ascii="方正小标宋简体" w:hAnsi="方正小标宋简体" w:eastAsia="方正小标宋简体" w:cs="方正小标宋简体"/>
          <w:sz w:val="36"/>
          <w:szCs w:val="36"/>
        </w:rPr>
        <w:t>部门整体支出</w:t>
      </w:r>
      <w:r>
        <w:rPr>
          <w:rFonts w:hint="eastAsia" w:ascii="方正小标宋简体" w:hAnsi="方正小标宋简体" w:eastAsia="方正小标宋简体" w:cs="方正小标宋简体"/>
          <w:spacing w:val="-6"/>
          <w:sz w:val="36"/>
          <w:szCs w:val="36"/>
        </w:rPr>
        <w:t>绩效自评工作考核评分表</w:t>
      </w:r>
    </w:p>
    <w:tbl>
      <w:tblPr>
        <w:tblStyle w:val="6"/>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Times New Roman" w:hAnsi="Times New Roman" w:eastAsia="黑体"/>
                <w:bCs/>
                <w:sz w:val="21"/>
                <w:szCs w:val="21"/>
              </w:rPr>
            </w:pPr>
            <w:r>
              <w:rPr>
                <w:rFonts w:ascii="Times New Roman" w:hAnsi="Times New Roman" w:eastAsia="黑体"/>
                <w:bCs/>
                <w:sz w:val="21"/>
                <w:szCs w:val="21"/>
              </w:rPr>
              <w:t>一级指标</w:t>
            </w:r>
          </w:p>
        </w:tc>
        <w:tc>
          <w:tcPr>
            <w:tcW w:w="1174"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黑体"/>
                <w:bCs/>
                <w:sz w:val="21"/>
                <w:szCs w:val="21"/>
              </w:rPr>
            </w:pPr>
            <w:r>
              <w:rPr>
                <w:rFonts w:ascii="Times New Roman" w:hAnsi="Times New Roman" w:eastAsia="黑体"/>
                <w:bCs/>
                <w:sz w:val="21"/>
                <w:szCs w:val="21"/>
              </w:rPr>
              <w:t>二级指标</w:t>
            </w:r>
          </w:p>
        </w:tc>
        <w:tc>
          <w:tcPr>
            <w:tcW w:w="5000"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黑体"/>
                <w:bCs/>
                <w:sz w:val="21"/>
                <w:szCs w:val="21"/>
              </w:rPr>
            </w:pPr>
            <w:r>
              <w:rPr>
                <w:rFonts w:ascii="Times New Roman" w:hAnsi="Times New Roman" w:eastAsia="黑体"/>
                <w:bCs/>
                <w:sz w:val="21"/>
                <w:szCs w:val="21"/>
              </w:rPr>
              <w:t>评分标准</w:t>
            </w:r>
          </w:p>
        </w:tc>
        <w:tc>
          <w:tcPr>
            <w:tcW w:w="3022"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黑体"/>
                <w:bCs/>
                <w:sz w:val="21"/>
                <w:szCs w:val="21"/>
              </w:rPr>
            </w:pPr>
            <w:r>
              <w:rPr>
                <w:rFonts w:ascii="Times New Roman" w:hAnsi="Times New Roman" w:eastAsia="黑体"/>
                <w:bCs/>
                <w:sz w:val="21"/>
                <w:szCs w:val="21"/>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布置工作</w:t>
            </w:r>
          </w:p>
          <w:p>
            <w:pPr>
              <w:spacing w:line="300" w:lineRule="exact"/>
              <w:jc w:val="center"/>
              <w:rPr>
                <w:rFonts w:ascii="Times New Roman" w:hAnsi="Times New Roman" w:eastAsia="仿宋_GB2312"/>
                <w:sz w:val="20"/>
                <w:szCs w:val="20"/>
              </w:rPr>
            </w:pPr>
          </w:p>
          <w:p>
            <w:pPr>
              <w:spacing w:line="300" w:lineRule="exact"/>
              <w:jc w:val="left"/>
              <w:rPr>
                <w:rFonts w:ascii="Times New Roman" w:hAnsi="Times New Roman" w:eastAsia="仿宋_GB2312"/>
                <w:sz w:val="20"/>
                <w:szCs w:val="20"/>
              </w:rPr>
            </w:pPr>
            <w:r>
              <w:rPr>
                <w:rFonts w:ascii="Times New Roman" w:hAnsi="Times New Roman" w:eastAsia="仿宋_GB2312"/>
                <w:sz w:val="20"/>
                <w:szCs w:val="20"/>
              </w:rPr>
              <w:t>10分</w:t>
            </w:r>
          </w:p>
        </w:tc>
        <w:tc>
          <w:tcPr>
            <w:tcW w:w="1174" w:type="dxa"/>
            <w:tcBorders>
              <w:top w:val="single" w:color="auto" w:sz="4" w:space="0"/>
              <w:left w:val="nil"/>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自评通知</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（8分）</w:t>
            </w:r>
          </w:p>
        </w:tc>
        <w:tc>
          <w:tcPr>
            <w:tcW w:w="5000"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ascii="Times New Roman" w:hAnsi="Times New Roman" w:eastAsia="仿宋_GB2312"/>
                <w:sz w:val="20"/>
                <w:szCs w:val="20"/>
              </w:rPr>
              <w:t>1</w:t>
            </w:r>
            <w:r>
              <w:rPr>
                <w:rFonts w:hint="eastAsia" w:ascii="Times New Roman" w:hAnsi="Times New Roman" w:eastAsia="仿宋_GB2312"/>
                <w:sz w:val="20"/>
                <w:szCs w:val="20"/>
              </w:rPr>
              <w:t>.</w:t>
            </w:r>
            <w:r>
              <w:rPr>
                <w:rFonts w:ascii="Times New Roman" w:hAnsi="Times New Roman" w:eastAsia="仿宋_GB2312"/>
                <w:sz w:val="20"/>
                <w:szCs w:val="20"/>
              </w:rPr>
              <w:t>印发绩效自评通知的得2分，否则不得分。</w:t>
            </w:r>
          </w:p>
          <w:p>
            <w:pPr>
              <w:spacing w:line="300" w:lineRule="exact"/>
              <w:rPr>
                <w:rFonts w:ascii="Times New Roman" w:hAnsi="Times New Roman" w:eastAsia="仿宋_GB2312"/>
                <w:sz w:val="20"/>
                <w:szCs w:val="20"/>
              </w:rPr>
            </w:pPr>
            <w:r>
              <w:rPr>
                <w:rFonts w:ascii="Times New Roman" w:hAnsi="Times New Roman" w:eastAsia="仿宋_GB2312"/>
                <w:sz w:val="20"/>
                <w:szCs w:val="20"/>
              </w:rPr>
              <w:t>2</w:t>
            </w:r>
            <w:r>
              <w:rPr>
                <w:rFonts w:hint="eastAsia" w:ascii="Times New Roman" w:hAnsi="Times New Roman" w:eastAsia="仿宋_GB2312"/>
                <w:sz w:val="20"/>
                <w:szCs w:val="20"/>
              </w:rPr>
              <w:t>.</w:t>
            </w:r>
            <w:r>
              <w:rPr>
                <w:rFonts w:ascii="Times New Roman" w:hAnsi="Times New Roman" w:eastAsia="仿宋_GB2312"/>
                <w:sz w:val="20"/>
                <w:szCs w:val="20"/>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ascii="Times New Roman" w:hAnsi="Times New Roman" w:eastAsia="仿宋_GB2312"/>
                <w:sz w:val="20"/>
                <w:szCs w:val="20"/>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vAlign w:val="center"/>
          </w:tcPr>
          <w:p>
            <w:pPr>
              <w:spacing w:line="300" w:lineRule="exact"/>
              <w:rPr>
                <w:rFonts w:ascii="Times New Roman" w:hAnsi="Times New Roman" w:eastAsia="仿宋_GB2312"/>
                <w:sz w:val="20"/>
                <w:szCs w:val="20"/>
              </w:rPr>
            </w:pPr>
          </w:p>
        </w:tc>
        <w:tc>
          <w:tcPr>
            <w:tcW w:w="1174"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工作小组</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（2分）</w:t>
            </w:r>
          </w:p>
        </w:tc>
        <w:tc>
          <w:tcPr>
            <w:tcW w:w="5000"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ascii="Times New Roman" w:hAnsi="Times New Roman" w:eastAsia="仿宋_GB2312"/>
                <w:sz w:val="20"/>
                <w:szCs w:val="20"/>
              </w:rPr>
              <w:t>成立绩效自评工作小组的得2分，否则不得分。</w:t>
            </w:r>
          </w:p>
        </w:tc>
        <w:tc>
          <w:tcPr>
            <w:tcW w:w="3022"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ascii="Times New Roman" w:hAnsi="Times New Roman" w:eastAsia="仿宋_GB2312"/>
                <w:sz w:val="20"/>
                <w:szCs w:val="20"/>
              </w:rPr>
              <w:t>本部门、本单位预算绩效管理领导小组/绩效评价工作小组有关文件盖章的电子版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实施评价</w:t>
            </w:r>
          </w:p>
          <w:p>
            <w:pPr>
              <w:spacing w:line="300" w:lineRule="exact"/>
              <w:jc w:val="center"/>
              <w:rPr>
                <w:rFonts w:ascii="Times New Roman" w:hAnsi="Times New Roman" w:eastAsia="仿宋_GB2312"/>
                <w:sz w:val="20"/>
                <w:szCs w:val="20"/>
              </w:rPr>
            </w:pP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20分</w:t>
            </w:r>
          </w:p>
        </w:tc>
        <w:tc>
          <w:tcPr>
            <w:tcW w:w="1174"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单位自查</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（10分）</w:t>
            </w:r>
          </w:p>
        </w:tc>
        <w:tc>
          <w:tcPr>
            <w:tcW w:w="5000"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hint="eastAsia" w:ascii="Times New Roman" w:hAnsi="Times New Roman" w:eastAsia="仿宋_GB2312"/>
                <w:sz w:val="20"/>
                <w:szCs w:val="20"/>
              </w:rPr>
              <w:t>市级</w:t>
            </w:r>
            <w:r>
              <w:rPr>
                <w:rFonts w:ascii="Times New Roman" w:hAnsi="Times New Roman" w:eastAsia="仿宋_GB2312"/>
                <w:sz w:val="20"/>
                <w:szCs w:val="20"/>
              </w:rPr>
              <w:t>预算部门本级和所属单位都要开展绩效自查，转移支付项目单位都要开展绩效自查，</w:t>
            </w:r>
            <w:r>
              <w:rPr>
                <w:rFonts w:hint="eastAsia" w:ascii="Times New Roman" w:hAnsi="Times New Roman" w:eastAsia="仿宋_GB2312"/>
                <w:sz w:val="20"/>
                <w:szCs w:val="20"/>
              </w:rPr>
              <w:t>县、区</w:t>
            </w:r>
            <w:r>
              <w:rPr>
                <w:rFonts w:ascii="Times New Roman" w:hAnsi="Times New Roman" w:eastAsia="仿宋_GB2312"/>
                <w:sz w:val="20"/>
                <w:szCs w:val="20"/>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vAlign w:val="center"/>
          </w:tcPr>
          <w:p>
            <w:pPr>
              <w:numPr>
                <w:ilvl w:val="0"/>
                <w:numId w:val="1"/>
              </w:numPr>
              <w:spacing w:line="300" w:lineRule="exact"/>
              <w:rPr>
                <w:rFonts w:ascii="Times New Roman" w:hAnsi="Times New Roman" w:eastAsia="仿宋_GB2312"/>
                <w:sz w:val="20"/>
                <w:szCs w:val="20"/>
              </w:rPr>
            </w:pPr>
            <w:r>
              <w:rPr>
                <w:rFonts w:ascii="Times New Roman" w:hAnsi="Times New Roman" w:eastAsia="仿宋_GB2312"/>
                <w:sz w:val="20"/>
                <w:szCs w:val="20"/>
              </w:rPr>
              <w:t>转移支付项目单位名称和资</w:t>
            </w:r>
            <w:r>
              <w:rPr>
                <w:rFonts w:hint="eastAsia" w:ascii="Times New Roman" w:hAnsi="Times New Roman" w:eastAsia="仿宋_GB2312"/>
                <w:sz w:val="20"/>
                <w:szCs w:val="20"/>
              </w:rPr>
              <w:t xml:space="preserve"> </w:t>
            </w:r>
            <w:r>
              <w:rPr>
                <w:rFonts w:ascii="Times New Roman" w:hAnsi="Times New Roman" w:eastAsia="仿宋_GB2312"/>
                <w:sz w:val="20"/>
                <w:szCs w:val="20"/>
              </w:rPr>
              <w:t>金情况清单</w:t>
            </w:r>
          </w:p>
          <w:p>
            <w:pPr>
              <w:numPr>
                <w:ilvl w:val="0"/>
                <w:numId w:val="1"/>
              </w:numPr>
              <w:spacing w:line="300" w:lineRule="exact"/>
              <w:rPr>
                <w:rFonts w:ascii="Times New Roman" w:hAnsi="Times New Roman" w:eastAsia="仿宋_GB2312"/>
                <w:sz w:val="20"/>
                <w:szCs w:val="20"/>
              </w:rPr>
            </w:pPr>
            <w:r>
              <w:rPr>
                <w:rFonts w:ascii="Times New Roman" w:hAnsi="Times New Roman" w:eastAsia="仿宋_GB2312"/>
                <w:sz w:val="20"/>
                <w:szCs w:val="20"/>
              </w:rPr>
              <w:t>有转移支付资金的各</w:t>
            </w:r>
            <w:r>
              <w:rPr>
                <w:rFonts w:hint="eastAsia" w:ascii="Times New Roman" w:hAnsi="Times New Roman" w:eastAsia="仿宋_GB2312"/>
                <w:sz w:val="20"/>
                <w:szCs w:val="20"/>
              </w:rPr>
              <w:t>县区</w:t>
            </w:r>
            <w:r>
              <w:rPr>
                <w:rFonts w:ascii="Times New Roman" w:hAnsi="Times New Roman" w:eastAsia="仿宋_GB2312"/>
                <w:sz w:val="20"/>
                <w:szCs w:val="20"/>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vAlign w:val="center"/>
          </w:tcPr>
          <w:p>
            <w:pPr>
              <w:spacing w:line="300" w:lineRule="exact"/>
              <w:rPr>
                <w:rFonts w:ascii="Times New Roman" w:hAnsi="Times New Roman" w:eastAsia="仿宋_GB2312"/>
                <w:sz w:val="20"/>
                <w:szCs w:val="20"/>
              </w:rPr>
            </w:pPr>
          </w:p>
        </w:tc>
        <w:tc>
          <w:tcPr>
            <w:tcW w:w="1174" w:type="dxa"/>
            <w:tcBorders>
              <w:top w:val="nil"/>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提交报告</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（10分）</w:t>
            </w:r>
          </w:p>
        </w:tc>
        <w:tc>
          <w:tcPr>
            <w:tcW w:w="8022" w:type="dxa"/>
            <w:gridSpan w:val="2"/>
            <w:tcBorders>
              <w:top w:val="nil"/>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按时向</w:t>
            </w:r>
            <w:r>
              <w:rPr>
                <w:rFonts w:hint="eastAsia" w:ascii="Times New Roman" w:hAnsi="Times New Roman" w:eastAsia="仿宋_GB2312"/>
                <w:sz w:val="20"/>
                <w:szCs w:val="20"/>
              </w:rPr>
              <w:t>市财政局</w:t>
            </w:r>
            <w:r>
              <w:rPr>
                <w:rFonts w:ascii="Times New Roman" w:hAnsi="Times New Roman" w:eastAsia="仿宋_GB2312"/>
                <w:sz w:val="20"/>
                <w:szCs w:val="20"/>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自评报告</w:t>
            </w:r>
          </w:p>
          <w:p>
            <w:pPr>
              <w:spacing w:line="300" w:lineRule="exact"/>
              <w:jc w:val="center"/>
              <w:rPr>
                <w:rFonts w:ascii="Times New Roman" w:hAnsi="Times New Roman" w:eastAsia="仿宋_GB2312"/>
                <w:sz w:val="20"/>
                <w:szCs w:val="20"/>
              </w:rPr>
            </w:pP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70分</w:t>
            </w:r>
          </w:p>
        </w:tc>
        <w:tc>
          <w:tcPr>
            <w:tcW w:w="1174"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完整性</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（15分）</w:t>
            </w:r>
          </w:p>
        </w:tc>
        <w:tc>
          <w:tcPr>
            <w:tcW w:w="8022" w:type="dxa"/>
            <w:gridSpan w:val="2"/>
            <w:tcBorders>
              <w:top w:val="single" w:color="auto" w:sz="4" w:space="0"/>
              <w:left w:val="nil"/>
              <w:bottom w:val="single" w:color="auto" w:sz="4" w:space="0"/>
              <w:right w:val="single" w:color="auto" w:sz="4" w:space="0"/>
            </w:tcBorders>
            <w:vAlign w:val="center"/>
          </w:tcPr>
          <w:p>
            <w:pPr>
              <w:rPr>
                <w:rFonts w:ascii="Times New Roman" w:hAnsi="Times New Roman" w:eastAsia="仿宋_GB2312"/>
                <w:sz w:val="20"/>
                <w:szCs w:val="20"/>
              </w:rPr>
            </w:pPr>
            <w:r>
              <w:rPr>
                <w:rFonts w:ascii="Times New Roman" w:hAnsi="Times New Roman" w:eastAsia="仿宋_GB2312"/>
                <w:sz w:val="20"/>
                <w:szCs w:val="20"/>
              </w:rPr>
              <w:t>1</w:t>
            </w:r>
            <w:r>
              <w:rPr>
                <w:rFonts w:hint="eastAsia" w:ascii="Times New Roman" w:hAnsi="Times New Roman" w:eastAsia="仿宋_GB2312"/>
                <w:sz w:val="20"/>
                <w:szCs w:val="20"/>
              </w:rPr>
              <w:t>.</w:t>
            </w:r>
            <w:r>
              <w:rPr>
                <w:rFonts w:ascii="Times New Roman" w:hAnsi="Times New Roman" w:eastAsia="仿宋_GB2312"/>
                <w:sz w:val="20"/>
                <w:szCs w:val="20"/>
              </w:rPr>
              <w:t>绩效自评报告正文部分内容齐全的，得8分；否则每少一个部分扣2分，最多扣8分。</w:t>
            </w:r>
          </w:p>
          <w:p>
            <w:pPr>
              <w:jc w:val="left"/>
              <w:rPr>
                <w:rFonts w:ascii="Times New Roman" w:hAnsi="Times New Roman" w:eastAsia="仿宋_GB2312"/>
                <w:sz w:val="20"/>
                <w:szCs w:val="20"/>
              </w:rPr>
            </w:pPr>
            <w:r>
              <w:rPr>
                <w:rFonts w:ascii="Times New Roman" w:hAnsi="Times New Roman" w:eastAsia="仿宋_GB2312"/>
                <w:sz w:val="20"/>
                <w:szCs w:val="20"/>
              </w:rPr>
              <w:t>2</w:t>
            </w:r>
            <w:r>
              <w:rPr>
                <w:rFonts w:hint="eastAsia" w:ascii="Times New Roman" w:hAnsi="Times New Roman" w:eastAsia="仿宋_GB2312"/>
                <w:sz w:val="20"/>
                <w:szCs w:val="20"/>
              </w:rPr>
              <w:t>.</w:t>
            </w:r>
            <w:r>
              <w:rPr>
                <w:rFonts w:ascii="Times New Roman" w:hAnsi="Times New Roman" w:eastAsia="仿宋_GB2312"/>
                <w:sz w:val="20"/>
                <w:szCs w:val="20"/>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ascii="Times New Roman" w:hAnsi="Times New Roman" w:eastAsia="仿宋_GB2312"/>
                <w:sz w:val="20"/>
                <w:szCs w:val="20"/>
              </w:rPr>
            </w:pPr>
          </w:p>
        </w:tc>
        <w:tc>
          <w:tcPr>
            <w:tcW w:w="1174" w:type="dxa"/>
            <w:tcBorders>
              <w:top w:val="single" w:color="auto" w:sz="4" w:space="0"/>
              <w:left w:val="nil"/>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绩效</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自评表</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（20分）</w:t>
            </w:r>
          </w:p>
        </w:tc>
        <w:tc>
          <w:tcPr>
            <w:tcW w:w="8022" w:type="dxa"/>
            <w:gridSpan w:val="2"/>
            <w:tcBorders>
              <w:top w:val="single" w:color="auto" w:sz="4" w:space="0"/>
              <w:left w:val="nil"/>
              <w:bottom w:val="single" w:color="auto" w:sz="4" w:space="0"/>
              <w:right w:val="single" w:color="auto" w:sz="4" w:space="0"/>
            </w:tcBorders>
            <w:vAlign w:val="center"/>
          </w:tcPr>
          <w:p>
            <w:pPr>
              <w:rPr>
                <w:rFonts w:ascii="Times New Roman" w:hAnsi="Times New Roman" w:eastAsia="仿宋_GB2312"/>
                <w:sz w:val="20"/>
                <w:szCs w:val="20"/>
              </w:rPr>
            </w:pPr>
            <w:r>
              <w:rPr>
                <w:rFonts w:ascii="Times New Roman" w:hAnsi="Times New Roman" w:eastAsia="仿宋_GB2312"/>
                <w:sz w:val="20"/>
                <w:szCs w:val="20"/>
              </w:rPr>
              <w:t>1、部门整体支出和项目支出绩效指标反映产出、效益、服务对象满意度方面的指标和预算执行率的权重符合《</w:t>
            </w:r>
            <w:r>
              <w:rPr>
                <w:rFonts w:hint="eastAsia" w:ascii="Times New Roman" w:hAnsi="Times New Roman" w:eastAsia="仿宋_GB2312"/>
                <w:sz w:val="20"/>
                <w:szCs w:val="20"/>
              </w:rPr>
              <w:t>岳阳市市级</w:t>
            </w:r>
            <w:r>
              <w:rPr>
                <w:rFonts w:ascii="Times New Roman" w:hAnsi="Times New Roman" w:eastAsia="仿宋_GB2312"/>
                <w:sz w:val="20"/>
                <w:szCs w:val="20"/>
              </w:rPr>
              <w:t>预算部门绩效自评操作规程》要求的，得5分，否则按比例扣除相应的分数。</w:t>
            </w:r>
          </w:p>
          <w:p>
            <w:pPr>
              <w:rPr>
                <w:rFonts w:ascii="Times New Roman" w:hAnsi="Times New Roman" w:eastAsia="仿宋_GB2312"/>
                <w:sz w:val="20"/>
                <w:szCs w:val="20"/>
              </w:rPr>
            </w:pPr>
            <w:r>
              <w:rPr>
                <w:rFonts w:ascii="Times New Roman" w:hAnsi="Times New Roman" w:eastAsia="仿宋_GB2312"/>
                <w:sz w:val="20"/>
                <w:szCs w:val="20"/>
              </w:rPr>
              <w:t>2</w:t>
            </w:r>
            <w:r>
              <w:rPr>
                <w:rFonts w:hint="eastAsia" w:ascii="Times New Roman" w:hAnsi="Times New Roman" w:eastAsia="仿宋_GB2312"/>
                <w:sz w:val="20"/>
                <w:szCs w:val="20"/>
              </w:rPr>
              <w:t>.</w:t>
            </w:r>
            <w:r>
              <w:rPr>
                <w:rFonts w:ascii="Times New Roman" w:hAnsi="Times New Roman" w:eastAsia="仿宋_GB2312"/>
                <w:sz w:val="20"/>
                <w:szCs w:val="20"/>
              </w:rPr>
              <w:t>部门整体支出和项目支出绩效指标全部细化到三级指标的，得5分；部分细化的，酌情扣分；没有细化的，不得分。</w:t>
            </w:r>
          </w:p>
          <w:p>
            <w:pPr>
              <w:jc w:val="left"/>
              <w:rPr>
                <w:rFonts w:ascii="Times New Roman" w:hAnsi="Times New Roman" w:eastAsia="仿宋_GB2312"/>
                <w:sz w:val="20"/>
                <w:szCs w:val="20"/>
              </w:rPr>
            </w:pPr>
            <w:r>
              <w:rPr>
                <w:rFonts w:ascii="Times New Roman" w:hAnsi="Times New Roman" w:eastAsia="仿宋_GB2312"/>
                <w:sz w:val="20"/>
                <w:szCs w:val="20"/>
              </w:rPr>
              <w:t>3</w:t>
            </w:r>
            <w:r>
              <w:rPr>
                <w:rFonts w:hint="eastAsia" w:ascii="Times New Roman" w:hAnsi="Times New Roman" w:eastAsia="仿宋_GB2312"/>
                <w:sz w:val="20"/>
                <w:szCs w:val="20"/>
              </w:rPr>
              <w:t>.</w:t>
            </w:r>
            <w:r>
              <w:rPr>
                <w:rFonts w:ascii="Times New Roman" w:hAnsi="Times New Roman" w:eastAsia="仿宋_GB2312"/>
                <w:sz w:val="20"/>
                <w:szCs w:val="20"/>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p>
        </w:tc>
        <w:tc>
          <w:tcPr>
            <w:tcW w:w="1174" w:type="dxa"/>
            <w:tcBorders>
              <w:top w:val="single" w:color="auto" w:sz="4" w:space="0"/>
              <w:left w:val="nil"/>
              <w:bottom w:val="single" w:color="auto" w:sz="4" w:space="0"/>
              <w:right w:val="single" w:color="auto" w:sz="4" w:space="0"/>
            </w:tcBorders>
            <w:vAlign w:val="center"/>
          </w:tcPr>
          <w:p>
            <w:pPr>
              <w:jc w:val="center"/>
              <w:rPr>
                <w:rFonts w:ascii="Times New Roman" w:hAnsi="Times New Roman"/>
              </w:rPr>
            </w:pPr>
          </w:p>
          <w:p>
            <w:pPr>
              <w:jc w:val="center"/>
              <w:rPr>
                <w:rFonts w:ascii="Times New Roman" w:hAnsi="Times New Roman" w:eastAsia="仿宋_GB2312"/>
                <w:sz w:val="20"/>
                <w:szCs w:val="20"/>
              </w:rPr>
            </w:pPr>
            <w:r>
              <w:rPr>
                <w:rFonts w:ascii="Times New Roman" w:hAnsi="Times New Roman" w:eastAsia="仿宋_GB2312"/>
                <w:sz w:val="20"/>
                <w:szCs w:val="20"/>
              </w:rPr>
              <w:t>反映问</w:t>
            </w:r>
          </w:p>
          <w:p>
            <w:pPr>
              <w:jc w:val="center"/>
              <w:rPr>
                <w:rFonts w:ascii="Times New Roman" w:hAnsi="Times New Roman" w:eastAsia="仿宋_GB2312"/>
                <w:sz w:val="20"/>
                <w:szCs w:val="20"/>
              </w:rPr>
            </w:pPr>
            <w:r>
              <w:rPr>
                <w:rFonts w:ascii="Times New Roman" w:hAnsi="Times New Roman" w:eastAsia="仿宋_GB2312"/>
                <w:sz w:val="20"/>
                <w:szCs w:val="20"/>
              </w:rPr>
              <w:t>题情况</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（20分）</w:t>
            </w:r>
          </w:p>
        </w:tc>
        <w:tc>
          <w:tcPr>
            <w:tcW w:w="8022" w:type="dxa"/>
            <w:gridSpan w:val="2"/>
            <w:tcBorders>
              <w:top w:val="single" w:color="auto" w:sz="4" w:space="0"/>
              <w:left w:val="nil"/>
              <w:bottom w:val="single" w:color="auto" w:sz="4" w:space="0"/>
              <w:right w:val="single" w:color="auto" w:sz="4" w:space="0"/>
            </w:tcBorders>
            <w:vAlign w:val="center"/>
          </w:tcPr>
          <w:p>
            <w:pPr>
              <w:jc w:val="left"/>
              <w:rPr>
                <w:rFonts w:ascii="Times New Roman" w:hAnsi="Times New Roman" w:eastAsia="仿宋_GB2312"/>
                <w:sz w:val="20"/>
                <w:szCs w:val="20"/>
              </w:rPr>
            </w:pPr>
            <w:r>
              <w:rPr>
                <w:rFonts w:ascii="Times New Roman" w:hAnsi="Times New Roman" w:eastAsia="仿宋_GB2312"/>
                <w:sz w:val="20"/>
                <w:szCs w:val="20"/>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ascii="Times New Roman" w:hAnsi="Times New Roman" w:eastAsia="仿宋_GB2312"/>
                <w:sz w:val="20"/>
                <w:szCs w:val="20"/>
              </w:rPr>
            </w:pPr>
          </w:p>
        </w:tc>
        <w:tc>
          <w:tcPr>
            <w:tcW w:w="1174" w:type="dxa"/>
            <w:tcBorders>
              <w:top w:val="single" w:color="auto" w:sz="4" w:space="0"/>
              <w:left w:val="nil"/>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建议情况</w:t>
            </w:r>
          </w:p>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（15分）</w:t>
            </w:r>
          </w:p>
        </w:tc>
        <w:tc>
          <w:tcPr>
            <w:tcW w:w="8022" w:type="dxa"/>
            <w:gridSpan w:val="2"/>
            <w:tcBorders>
              <w:top w:val="single" w:color="auto" w:sz="4" w:space="0"/>
              <w:left w:val="nil"/>
              <w:bottom w:val="single" w:color="auto" w:sz="4" w:space="0"/>
              <w:right w:val="single" w:color="auto" w:sz="4" w:space="0"/>
            </w:tcBorders>
            <w:vAlign w:val="center"/>
          </w:tcPr>
          <w:p>
            <w:pPr>
              <w:jc w:val="left"/>
              <w:rPr>
                <w:rFonts w:ascii="Times New Roman" w:hAnsi="Times New Roman" w:eastAsia="仿宋_GB2312"/>
                <w:sz w:val="20"/>
                <w:szCs w:val="20"/>
              </w:rPr>
            </w:pPr>
            <w:r>
              <w:rPr>
                <w:rFonts w:ascii="Times New Roman" w:hAnsi="Times New Roman" w:eastAsia="仿宋_GB2312"/>
                <w:sz w:val="20"/>
                <w:szCs w:val="20"/>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合计</w:t>
            </w:r>
          </w:p>
        </w:tc>
        <w:tc>
          <w:tcPr>
            <w:tcW w:w="117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Times New Roman" w:hAnsi="Times New Roman" w:eastAsia="仿宋_GB2312"/>
                <w:sz w:val="20"/>
                <w:szCs w:val="20"/>
              </w:rPr>
            </w:pPr>
            <w:r>
              <w:rPr>
                <w:rFonts w:ascii="Times New Roman" w:hAnsi="Times New Roman" w:eastAsia="仿宋_GB2312"/>
                <w:sz w:val="20"/>
                <w:szCs w:val="20"/>
              </w:rPr>
              <w:t>100分</w:t>
            </w:r>
          </w:p>
        </w:tc>
        <w:tc>
          <w:tcPr>
            <w:tcW w:w="802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Times New Roman" w:hAnsi="Times New Roman" w:eastAsia="仿宋_GB2312"/>
                <w:sz w:val="20"/>
                <w:szCs w:val="20"/>
              </w:rPr>
            </w:pPr>
            <w:r>
              <w:rPr>
                <w:rFonts w:ascii="Times New Roman" w:hAnsi="Times New Roman" w:eastAsia="仿宋_GB2312"/>
                <w:sz w:val="20"/>
                <w:szCs w:val="20"/>
              </w:rPr>
              <w:t>　</w:t>
            </w:r>
          </w:p>
        </w:tc>
      </w:tr>
    </w:tbl>
    <w:p>
      <w:pPr>
        <w:spacing w:line="360" w:lineRule="auto"/>
        <w:rPr>
          <w:rFonts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0000600000000000000"/>
    <w:charset w:val="86"/>
    <w:family w:val="auto"/>
    <w:pitch w:val="default"/>
    <w:sig w:usb0="800002BF" w:usb1="184F6CF8" w:usb2="00000012" w:usb3="00000000" w:csb0="00160001" w:csb1="1203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DF8822"/>
    <w:multiLevelType w:val="singleLevel"/>
    <w:tmpl w:val="5DDF8822"/>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E1ZDg1MjQyMWM5NGNiNzE1YmE2OTlhMTU3MzM4MzAifQ=="/>
  </w:docVars>
  <w:rsids>
    <w:rsidRoot w:val="59886344"/>
    <w:rsid w:val="00010F33"/>
    <w:rsid w:val="00013F7C"/>
    <w:rsid w:val="00070A77"/>
    <w:rsid w:val="00082527"/>
    <w:rsid w:val="000C4B17"/>
    <w:rsid w:val="00160ADE"/>
    <w:rsid w:val="00436225"/>
    <w:rsid w:val="004C0C97"/>
    <w:rsid w:val="004E30B9"/>
    <w:rsid w:val="004F3764"/>
    <w:rsid w:val="004F71D2"/>
    <w:rsid w:val="0050209B"/>
    <w:rsid w:val="00803FE7"/>
    <w:rsid w:val="008204BB"/>
    <w:rsid w:val="00876E0A"/>
    <w:rsid w:val="008D26EC"/>
    <w:rsid w:val="0092059B"/>
    <w:rsid w:val="0095580C"/>
    <w:rsid w:val="00993833"/>
    <w:rsid w:val="009D04B3"/>
    <w:rsid w:val="009E2071"/>
    <w:rsid w:val="00A202DE"/>
    <w:rsid w:val="00A341FE"/>
    <w:rsid w:val="00A36865"/>
    <w:rsid w:val="00A65E3B"/>
    <w:rsid w:val="00A7002E"/>
    <w:rsid w:val="00A701D8"/>
    <w:rsid w:val="00AA37F5"/>
    <w:rsid w:val="00B6724E"/>
    <w:rsid w:val="00BA25D0"/>
    <w:rsid w:val="00BF7BEF"/>
    <w:rsid w:val="00C86528"/>
    <w:rsid w:val="00C9395B"/>
    <w:rsid w:val="00CC1A6D"/>
    <w:rsid w:val="00D37A71"/>
    <w:rsid w:val="00D464CE"/>
    <w:rsid w:val="00D831C9"/>
    <w:rsid w:val="00DB46BA"/>
    <w:rsid w:val="00E20F63"/>
    <w:rsid w:val="00E318B4"/>
    <w:rsid w:val="00E43EF7"/>
    <w:rsid w:val="00E45246"/>
    <w:rsid w:val="00E8552F"/>
    <w:rsid w:val="00EC5F07"/>
    <w:rsid w:val="00F474F6"/>
    <w:rsid w:val="00FE5EA3"/>
    <w:rsid w:val="00FF5669"/>
    <w:rsid w:val="41D62FBE"/>
    <w:rsid w:val="5988634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sz w:val="28"/>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eastAsia="仿宋" w:cs="仿宋"/>
      <w:sz w:val="31"/>
      <w:szCs w:val="31"/>
      <w:lang w:eastAsia="en-US"/>
    </w:rPr>
  </w:style>
  <w:style w:type="paragraph" w:styleId="3">
    <w:name w:val="footer"/>
    <w:basedOn w:val="1"/>
    <w:link w:val="13"/>
    <w:uiPriority w:val="0"/>
    <w:pPr>
      <w:tabs>
        <w:tab w:val="center" w:pos="4153"/>
        <w:tab w:val="right" w:pos="8306"/>
      </w:tabs>
      <w:snapToGrid w:val="0"/>
      <w:jc w:val="left"/>
    </w:pPr>
    <w:rPr>
      <w:sz w:val="18"/>
      <w:szCs w:val="18"/>
    </w:rPr>
  </w:style>
  <w:style w:type="paragraph" w:styleId="4">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jc w:val="left"/>
    </w:pPr>
    <w:rPr>
      <w:rFonts w:ascii="宋体" w:hAnsi="宋体" w:cs="宋体"/>
      <w:sz w:val="24"/>
    </w:rPr>
  </w:style>
  <w:style w:type="character" w:styleId="8">
    <w:name w:val="Hyperlink"/>
    <w:basedOn w:val="7"/>
    <w:unhideWhenUsed/>
    <w:uiPriority w:val="99"/>
    <w:rPr>
      <w:color w:val="2440B3"/>
      <w:u w:val="none"/>
    </w:rPr>
  </w:style>
  <w:style w:type="paragraph" w:customStyle="1" w:styleId="9">
    <w:name w:val="列出段落1"/>
    <w:basedOn w:val="1"/>
    <w:qFormat/>
    <w:uiPriority w:val="34"/>
    <w:pPr>
      <w:ind w:firstLine="420" w:firstLineChars="200"/>
    </w:pPr>
  </w:style>
  <w:style w:type="paragraph" w:styleId="10">
    <w:name w:val="List Paragraph"/>
    <w:basedOn w:val="1"/>
    <w:qFormat/>
    <w:uiPriority w:val="99"/>
    <w:pPr>
      <w:ind w:firstLine="420" w:firstLineChars="200"/>
    </w:pPr>
    <w:rPr>
      <w:rFonts w:ascii="Calibri" w:hAnsi="Calibri"/>
      <w:szCs w:val="22"/>
    </w:rPr>
  </w:style>
  <w:style w:type="character" w:customStyle="1" w:styleId="11">
    <w:name w:val="markdown-link-tail"/>
    <w:basedOn w:val="7"/>
    <w:uiPriority w:val="0"/>
  </w:style>
  <w:style w:type="character" w:customStyle="1" w:styleId="12">
    <w:name w:val="页眉 Char"/>
    <w:basedOn w:val="7"/>
    <w:link w:val="4"/>
    <w:uiPriority w:val="0"/>
    <w:rPr>
      <w:rFonts w:ascii="仿宋" w:hAnsi="仿宋" w:eastAsia="宋体" w:cs="Times New Roman"/>
      <w:sz w:val="18"/>
      <w:szCs w:val="18"/>
    </w:rPr>
  </w:style>
  <w:style w:type="character" w:customStyle="1" w:styleId="13">
    <w:name w:val="页脚 Char"/>
    <w:basedOn w:val="7"/>
    <w:link w:val="3"/>
    <w:uiPriority w:val="0"/>
    <w:rPr>
      <w:rFonts w:ascii="仿宋" w:hAnsi="仿宋"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877</Words>
  <Characters>5004</Characters>
  <Lines>41</Lines>
  <Paragraphs>11</Paragraphs>
  <TotalTime>302</TotalTime>
  <ScaleCrop>false</ScaleCrop>
  <LinksUpToDate>false</LinksUpToDate>
  <CharactersWithSpaces>5870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2024-05-22T06:56:00Z</dcterms:created>
  <dc:creator>Administrator</dc:creator>
  <cp:lastModifiedBy>口天wu</cp:lastModifiedBy>
  <cp:lastPrinted>2024-06-18T01:53:00Z</cp:lastPrinted>
  <dcterms:modified xsi:type="dcterms:W3CDTF">2024-07-12T02:50:40Z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6182D3A10D564617983F46DEE354AEAF</vt:lpwstr>
  </property>
</Properties>
</file>