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年度岳阳市君山区信访局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 xml:space="preserve"> 月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21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岳阳市君山区信访局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部门基本情况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Times New Roman" w:hAnsi="Times New Roman" w:eastAsia="楷体_GB2312" w:cs="Times New Roman"/>
          <w:b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　</w:t>
      </w:r>
      <w:r>
        <w:rPr>
          <w:rFonts w:hint="eastAsia" w:ascii="Times New Roman" w:hAnsi="Times New Roman" w:eastAsia="楷体_GB2312" w:cs="Times New Roman"/>
          <w:b/>
          <w:kern w:val="0"/>
          <w:sz w:val="32"/>
          <w:szCs w:val="32"/>
          <w:highlight w:val="none"/>
          <w:lang w:val="en-US" w:eastAsia="zh-CN" w:bidi="ar-SA"/>
        </w:rPr>
        <w:t>（一）单位基本情况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岳阳市君山区信访局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（以下简称我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局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）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是区政府工作部门，其职能职责为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：</w:t>
      </w:r>
    </w:p>
    <w:p>
      <w:pPr>
        <w:pStyle w:val="3"/>
        <w:bidi w:val="0"/>
        <w:ind w:firstLine="620" w:firstLineChars="200"/>
        <w:rPr>
          <w:rFonts w:hint="default"/>
        </w:rPr>
      </w:pPr>
      <w:r>
        <w:rPr>
          <w:rFonts w:hint="eastAsia"/>
          <w:lang w:val="en-US" w:eastAsia="zh-CN"/>
        </w:rPr>
        <w:t>1、</w:t>
      </w:r>
      <w:r>
        <w:rPr>
          <w:rFonts w:hint="default"/>
        </w:rPr>
        <w:t>负责处理人民群众给区委、区政府及其领导同志的来信，接待处理群众来信、来访、网络信访，为领导同志接待上访群众做好组织服务工作。</w:t>
      </w:r>
    </w:p>
    <w:p>
      <w:pPr>
        <w:pStyle w:val="3"/>
        <w:bidi w:val="0"/>
        <w:ind w:firstLine="620" w:firstLineChars="200"/>
        <w:rPr>
          <w:rFonts w:hint="default"/>
        </w:rPr>
      </w:pPr>
      <w:r>
        <w:rPr>
          <w:rFonts w:hint="eastAsia"/>
          <w:lang w:val="en-US" w:eastAsia="zh-CN"/>
        </w:rPr>
        <w:t>2、</w:t>
      </w:r>
      <w:r>
        <w:rPr>
          <w:rFonts w:hint="default"/>
        </w:rPr>
        <w:t>承办中央、省、市和区委、区政府交办的信访事项，向镇（街道）场、区直部门和市驻区单位交办信访事项，督促检查处理落实情况。</w:t>
      </w:r>
    </w:p>
    <w:p>
      <w:pPr>
        <w:pStyle w:val="3"/>
        <w:bidi w:val="0"/>
        <w:ind w:firstLine="310" w:firstLineChars="100"/>
        <w:rPr>
          <w:rFonts w:hint="default"/>
        </w:rPr>
      </w:pPr>
      <w:r>
        <w:rPr>
          <w:rFonts w:hint="default"/>
        </w:rPr>
        <w:t>　</w:t>
      </w:r>
      <w:r>
        <w:rPr>
          <w:rFonts w:hint="eastAsia"/>
          <w:lang w:val="en-US" w:eastAsia="zh-CN"/>
        </w:rPr>
        <w:t>3、</w:t>
      </w:r>
      <w:r>
        <w:rPr>
          <w:rFonts w:hint="default"/>
        </w:rPr>
        <w:t>办理区本级信访事项复查复核，指导全区信访事项复查复核工作。</w:t>
      </w:r>
    </w:p>
    <w:p>
      <w:pPr>
        <w:pStyle w:val="3"/>
        <w:bidi w:val="0"/>
        <w:ind w:firstLine="310" w:firstLineChars="100"/>
        <w:rPr>
          <w:rFonts w:hint="default"/>
        </w:rPr>
      </w:pPr>
      <w:r>
        <w:rPr>
          <w:rFonts w:hint="default"/>
        </w:rPr>
        <w:t>　</w:t>
      </w:r>
      <w:r>
        <w:rPr>
          <w:rFonts w:hint="eastAsia"/>
          <w:lang w:val="en-US" w:eastAsia="zh-CN"/>
        </w:rPr>
        <w:t>4、</w:t>
      </w:r>
      <w:r>
        <w:rPr>
          <w:rFonts w:hint="default"/>
        </w:rPr>
        <w:t>综合、反映群众信访中提出的重要意见、建议和问题，开展调查研究，为区委、区政府提供信访信息。</w:t>
      </w:r>
    </w:p>
    <w:p>
      <w:pPr>
        <w:pStyle w:val="3"/>
        <w:bidi w:val="0"/>
        <w:ind w:firstLine="620" w:firstLineChars="200"/>
        <w:rPr>
          <w:rFonts w:hint="default"/>
        </w:rPr>
      </w:pPr>
      <w:r>
        <w:rPr>
          <w:rFonts w:hint="eastAsia"/>
          <w:lang w:val="en-US" w:eastAsia="zh-CN"/>
        </w:rPr>
        <w:t>5、</w:t>
      </w:r>
      <w:r>
        <w:rPr>
          <w:rFonts w:hint="default"/>
        </w:rPr>
        <w:t>协同有关部门处理跨地区、跨部门的重大信访问题，协调处理群众到区到市赴省进京上访。</w:t>
      </w:r>
    </w:p>
    <w:p>
      <w:pPr>
        <w:pStyle w:val="3"/>
        <w:bidi w:val="0"/>
        <w:ind w:firstLine="620" w:firstLineChars="200"/>
        <w:rPr>
          <w:rFonts w:hint="default"/>
        </w:rPr>
      </w:pPr>
      <w:r>
        <w:rPr>
          <w:rFonts w:hint="eastAsia"/>
          <w:lang w:val="en-US" w:eastAsia="zh-CN"/>
        </w:rPr>
        <w:t>6、</w:t>
      </w:r>
      <w:r>
        <w:rPr>
          <w:rFonts w:hint="default"/>
        </w:rPr>
        <w:t>开展信访工作宣传和调研，指导全区信访工作业务，总结推广信访工作经验，提出加强和改进信访工作的意见。</w:t>
      </w:r>
    </w:p>
    <w:p>
      <w:pPr>
        <w:pStyle w:val="3"/>
        <w:bidi w:val="0"/>
        <w:ind w:firstLine="310" w:firstLineChars="100"/>
        <w:rPr>
          <w:rFonts w:hint="default"/>
        </w:rPr>
      </w:pPr>
      <w:r>
        <w:rPr>
          <w:rFonts w:hint="default"/>
        </w:rPr>
        <w:t>　</w:t>
      </w:r>
      <w:r>
        <w:rPr>
          <w:rFonts w:hint="eastAsia"/>
          <w:lang w:val="en-US" w:eastAsia="zh-CN"/>
        </w:rPr>
        <w:t>7、</w:t>
      </w:r>
      <w:r>
        <w:rPr>
          <w:rFonts w:hint="default"/>
        </w:rPr>
        <w:t>掌握全区信访工作队伍建设情况，提出加强信访队伍建设措施，对信访工作中失职、渎职行为提出处理建议，组织信访干部培训，指导信访工作机构办公自动化建设。</w:t>
      </w:r>
    </w:p>
    <w:p>
      <w:pPr>
        <w:pStyle w:val="3"/>
        <w:bidi w:val="0"/>
        <w:ind w:firstLine="620" w:firstLineChars="200"/>
        <w:rPr>
          <w:rFonts w:hint="default"/>
        </w:rPr>
      </w:pPr>
      <w:r>
        <w:rPr>
          <w:rFonts w:hint="eastAsia"/>
          <w:lang w:val="en-US" w:eastAsia="zh-CN"/>
        </w:rPr>
        <w:t>8、</w:t>
      </w:r>
      <w:r>
        <w:rPr>
          <w:rFonts w:hint="default"/>
        </w:rPr>
        <w:t>完成区委、区政府交办的其他任务。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（二）机构设置与人员情况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局设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办公室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接访办信室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政策法规室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协调督查室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网络信访室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5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个职能股室。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年末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共有在职人员8人，其中，行政人员3人，非参公事业人员5人。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/>
        </w:rPr>
        <w:t>单位绩效目标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2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整体支出绩效目标：以规范预算绩效管理结构为基础、以预算项目为载体、绩效管理为主线，围绕“存史、资政、育人”职能，进一步加强制度建设，提高财政资金使用绩效，促进管理效能提升。　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项目支出绩效目标：加强和改进服务群众工作，持续做好全省信访工作示范区创建，持续做好《信访工作条例宣传》，推动依法及时就地解决群众合理合法诉求，维护社会和谐稳定。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局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全年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预算资金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268.20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万元，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其中：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基本支出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141.21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万元，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项目支出126.99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万元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全年实际支出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268.20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万元，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其中：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基本支出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141.21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万元，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项目支出126.99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万元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预算执行率100%。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局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全年基本支出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141.21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万元，其中人员经费123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.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32万元，公用经费17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.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8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9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基本支出主要是指为保障单位机构正常运转、完成日常工作任务而发生的各项支出，包括用于基本工资、绩效工资、津贴补贴、社会保障缴费等人员经费，办公费、印刷费、水电费、差旅费、公务接待费、维修（护）费等日常公用经费，以及离退休费用等其他对个人和家庭的补助支出。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　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　2023年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我局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全年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项目支出126.99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，主要是本部门为完成特定工作任务或事业发展目标而发生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的支出，包括有关事业发展专项、专项业务费、基本建设支出等，含信访局工作经费等项目支出。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局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无此项支出。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局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无此项支出。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局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无此项支出。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部门整体支出绩效情况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0"/>
        <w:jc w:val="both"/>
        <w:textAlignment w:val="auto"/>
        <w:rPr>
          <w:rFonts w:hint="default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局严格执行预算，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财务管理规范，各项工作任务全面完成，单位行政运行稳定有序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部门整体支出绩效自评得分97分。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预算财务管理方面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　　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局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严格遵守各项规章制度，严格执行经费审批制度、报销程序，加强了经费支出的监督管理，实现了资金申请、审批、拨付、监督等全流程制度化管理；坚持经费预算科学化、精细化，执行控制规范化、责任化，监督检查常态化、同步化；资金使用没有截留、挪用、虚列支出、随意借用等情况；重大财务事项经由集体研究决策；专项资金做到专款专用；原始凭证的取得真实有效。部门预决算信息按规定内容，在规定的时限内予以公开。基础数据信息和会计信息资料真实、完整、准确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44"/>
          <w:sz w:val="32"/>
          <w:szCs w:val="32"/>
          <w:lang w:val="en-US" w:eastAsia="zh-CN" w:bidi="ar"/>
        </w:rPr>
        <w:t>（二）履职产出效益方面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局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认真履行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部门职责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履职情况如下：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领导包案有温度。区委、区政府主要领导带头，17名区级党政领导深入基层下访接访77人次，推动解决钱粮湖镇观音村道路拓宽修整、柳林洲街道望城社区垃圾池迁址等44件事关群众切身利益的实际问题，让群众实实在在感受到党的温暖。</w:t>
      </w:r>
    </w:p>
    <w:p>
      <w:pPr>
        <w:ind w:firstLine="640" w:firstLineChars="200"/>
        <w:rPr>
          <w:rFonts w:hint="eastAsia" w:ascii="仿宋_GB2312" w:hAnsi="Tahoma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仿宋_GB2312" w:hAnsi="Tahoma" w:eastAsia="仿宋_GB2312" w:cs="Times New Roman"/>
          <w:b w:val="0"/>
          <w:i w:val="0"/>
          <w:caps w:val="0"/>
          <w:spacing w:val="0"/>
          <w:w w:val="100"/>
          <w:kern w:val="0"/>
          <w:sz w:val="32"/>
          <w:szCs w:val="32"/>
          <w:lang w:val="en-US" w:eastAsia="zh-CN"/>
        </w:rPr>
        <w:t>2.基层治理有精度。深入贯彻落实《信访工作条例》，扎实开展信访问题源头治理三年攻坚行动、重复信访积案化解攻坚和进京上访治理等工作，常态化开展矛盾纠纷排查，全区今年共排查出45名重点人员和3个重点群体。对排查出来的问题，明确区级党政领导包案，加强调度协调，推动问题化解，及时发现、稳妥处置，确保矛盾纠纷隐患早发现、早防范、早处置，努力将矛盾隐患消除在萌芽状态，不断提升群众满意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/>
          <w:lang w:val="en-US" w:eastAsia="zh-CN"/>
        </w:rPr>
      </w:pPr>
      <w:r>
        <w:rPr>
          <w:rFonts w:hint="eastAsia" w:ascii="仿宋_GB2312" w:hAnsi="Tahoma" w:eastAsia="仿宋_GB2312" w:cs="Times New Roman"/>
          <w:b w:val="0"/>
          <w:i w:val="0"/>
          <w:caps w:val="0"/>
          <w:spacing w:val="0"/>
          <w:w w:val="100"/>
          <w:kern w:val="0"/>
          <w:sz w:val="32"/>
          <w:szCs w:val="32"/>
          <w:lang w:val="en-US" w:eastAsia="zh-CN"/>
        </w:rPr>
        <w:t>3.积案化解有力度。</w:t>
      </w:r>
      <w:r>
        <w:rPr>
          <w:rFonts w:hint="eastAsia" w:ascii="仿宋_GB2312" w:hAnsi="Tahoma" w:eastAsia="仿宋_GB2312" w:cs="Times New Roman"/>
          <w:kern w:val="0"/>
          <w:sz w:val="32"/>
          <w:szCs w:val="32"/>
          <w:lang w:val="en-US" w:eastAsia="zh-CN"/>
        </w:rPr>
        <w:t>经区委、区政府主要领导统筹协调，区信访工作联席会议召集人调度推动，区级党政领导包案领办，责任单位专班推进，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通过对重点重复信访积案实行挂号管理、挂牌督办、办结销号，实地督查督办，推动</w:t>
      </w:r>
      <w:r>
        <w:rPr>
          <w:rFonts w:hint="eastAsia" w:ascii="仿宋_GB2312" w:hAnsi="Tahoma" w:eastAsia="仿宋_GB2312" w:cs="Times New Roman"/>
          <w:kern w:val="0"/>
          <w:sz w:val="32"/>
          <w:szCs w:val="32"/>
          <w:lang w:val="en-US" w:eastAsia="zh-CN"/>
        </w:rPr>
        <w:t>中央联席办交办的我区共三批48件重复信访积案和省委巡视组分9批移交的79件信访件全部办结。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六、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  <w:lang w:eastAsia="zh-CN"/>
        </w:rPr>
        <w:t>存在的问题及原因分析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1、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绩效评价不能完全兼顾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各方面的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工作，在各项指标的分析上也未能做到透彻，对各项资金使用的规范性和使用结果的有效性分析并不透彻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2、资金使用效益有待进一步提高，绩效目标设立不够明确和细化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，预算绩效管理的合理性、科学性还需加强。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七、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下一步改进措施</w:t>
      </w:r>
    </w:p>
    <w:p>
      <w:pPr>
        <w:pStyle w:val="7"/>
        <w:ind w:firstLine="640"/>
        <w:rPr>
          <w:rFonts w:hint="default"/>
        </w:rPr>
      </w:pPr>
      <w:r>
        <w:rPr>
          <w:rFonts w:hint="eastAsia"/>
          <w:lang w:val="en-US" w:eastAsia="zh-CN"/>
        </w:rPr>
        <w:t>1、</w:t>
      </w:r>
      <w:r>
        <w:rPr>
          <w:rFonts w:hint="default"/>
        </w:rPr>
        <w:t>细化预算编制工作，认真做好预算的编制。进一步加强单位内部的预算管理意识，严格按照预算编制的相关制度和要求进行预算编制；提高人员的业务素质与参与度。</w:t>
      </w:r>
    </w:p>
    <w:p>
      <w:pPr>
        <w:pStyle w:val="7"/>
        <w:ind w:firstLine="640"/>
        <w:rPr>
          <w:rFonts w:hint="default"/>
        </w:rPr>
      </w:pPr>
      <w:r>
        <w:rPr>
          <w:rFonts w:hint="eastAsia"/>
          <w:lang w:val="en-US" w:eastAsia="zh-CN"/>
        </w:rPr>
        <w:t>2、</w:t>
      </w:r>
      <w:r>
        <w:rPr>
          <w:rFonts w:hint="default"/>
        </w:rPr>
        <w:t>完善内部控制体系建设。针对检查和评价过程中发现的问题和相关财经法律法规的变化，对相关制度、措施和程序进行调整、改进内部控制管理办法。对相关人员加强培训，规范部门预算收支核算，切实提高部门预算收支管理水平。</w:t>
      </w:r>
    </w:p>
    <w:p>
      <w:pPr>
        <w:pStyle w:val="8"/>
        <w:rPr>
          <w:rFonts w:hint="eastAsia" w:eastAsia="仿宋_GB2312"/>
          <w:lang w:val="en-US" w:eastAsia="zh-CN"/>
        </w:rPr>
      </w:pPr>
      <w:r>
        <w:rPr>
          <w:rFonts w:hint="eastAsia"/>
          <w:lang w:val="en-US" w:eastAsia="zh-CN"/>
        </w:rPr>
        <w:t>　3、加强项目开展进度的跟踪，开展项目绩效评价，确保项目绩效目标的完成。</w:t>
      </w:r>
    </w:p>
    <w:p>
      <w:pPr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部门整体支出绩效自评结果拟应用和公开情况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对照绩效自评结果，总结经验，发现问题，提出改进的方向和具体措施，促进工作的开展。逐步建立绩效评价与部门预算相结合的结果应用机制，实行绩效评价结果在部门预算编制和执行中的应用，促进财政资金的合理分配与有效使用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对部门整体支出绩效自评在规定时间内公开至本单位门户网站，确保公开数据真实、完整、准确。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无。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br w:type="page"/>
      </w: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5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2.53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2.53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126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99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126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78.99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78.99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信访专项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102.77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32.12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  <w:t>4.38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  <w:t>4.38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19.13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  <w:t>1.52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  <w:t>1.52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0.37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  <w:t>0.53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  <w:t>0.53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26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19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26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19　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141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21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141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21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lang w:val="en-US" w:eastAsia="zh-CN"/>
              </w:rPr>
              <w:t>深入贯彻落实中央八项规定及其实施细则特神，严格控制“三公”经费开支，严禁超范围、超标准开支，践行精细化管理理念，加强绩效化管理，推进绩效评价结果与预算挂钩，严防资金低效使用，确保财力有效转化为保障力。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5"/>
        <w:tblW w:w="1029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968"/>
        <w:gridCol w:w="1605"/>
        <w:gridCol w:w="1395"/>
        <w:gridCol w:w="1320"/>
        <w:gridCol w:w="705"/>
        <w:gridCol w:w="720"/>
        <w:gridCol w:w="14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9218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岳阳市君山区信访局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04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04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201.99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268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20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268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20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04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17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04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268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20</w:t>
            </w:r>
          </w:p>
        </w:tc>
        <w:tc>
          <w:tcPr>
            <w:tcW w:w="417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其中：基本支出：141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04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17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项目支出：126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04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17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04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</w:p>
        </w:tc>
        <w:tc>
          <w:tcPr>
            <w:tcW w:w="417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504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1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04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全面畅通民意诉求渠道。规范信访事项受理办理程序。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加大信访事项督查督办力度，攻坚化解疑难突出信访问题。整治信访工作秩序，开展“三无”创建活动。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41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以预算绩效管理为基础、提高财政资金使用绩效，促进了管理效能提升，确保了工作任务完成。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9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9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领导包案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40件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44件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信访积案化解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50件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79件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信访干部教育培训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50人次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80人次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开展矛盾纠纷排查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40件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45件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领导包案率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  <w:r>
              <w:rPr>
                <w:rFonts w:hint="eastAsia" w:ascii="Arial" w:hAnsi="Arial" w:eastAsia="仿宋_GB2312" w:cs="Arial"/>
                <w:color w:val="000000"/>
                <w:sz w:val="20"/>
                <w:szCs w:val="20"/>
                <w:highlight w:val="none"/>
                <w:lang w:val="en-US" w:eastAsia="zh-CN"/>
              </w:rPr>
              <w:t>%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积案化解率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≥</w:t>
            </w:r>
            <w:r>
              <w:rPr>
                <w:rFonts w:hint="eastAsia" w:ascii="Arial" w:hAnsi="Arial" w:eastAsia="仿宋_GB2312" w:cs="Arial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培训合格率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Arial" w:hAnsi="Arial" w:eastAsia="仿宋_GB2312" w:cs="Arial"/>
                <w:color w:val="000000"/>
                <w:sz w:val="20"/>
                <w:szCs w:val="20"/>
                <w:highlight w:val="none"/>
                <w:lang w:val="en-US" w:eastAsia="zh-CN"/>
              </w:rPr>
              <w:t>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eastAsia="zh-CN"/>
              </w:rPr>
              <w:t>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计划时间完成任务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2023、12、31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2023、12、31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完成任务支出不超过预算批复金额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Arial" w:hAnsi="Arial" w:eastAsia="仿宋_GB2312" w:cs="Arial"/>
                <w:sz w:val="20"/>
                <w:szCs w:val="20"/>
                <w:highlight w:val="none"/>
              </w:rPr>
              <w:t>≤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268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万元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268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万元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化解矛盾，加强基层治理，服务经济社会发展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化解矛盾，解决合理诉求，促进社会和谐稳定，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无明显影响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无明显影响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无明显影响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需进一步完善生态指标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化解矛盾，解决合理诉求，促进社会和谐稳定，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社会公众或服务对象满意度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44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97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</w:pPr>
    </w:p>
    <w:p>
      <w:pPr>
        <w:widowControl/>
        <w:spacing w:line="600" w:lineRule="exact"/>
        <w:ind w:firstLine="1800" w:firstLineChars="500"/>
        <w:jc w:val="both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5"/>
        <w:tblW w:w="1062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6"/>
        <w:gridCol w:w="1077"/>
        <w:gridCol w:w="1075"/>
        <w:gridCol w:w="1218"/>
        <w:gridCol w:w="1176"/>
        <w:gridCol w:w="1130"/>
        <w:gridCol w:w="825"/>
        <w:gridCol w:w="870"/>
        <w:gridCol w:w="218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954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信访专项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岳阳市君山区信访局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8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岳阳市君山区信访局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48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48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48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48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48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48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50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加强和改进服务群众工作，持续做好全省信访工作示范区创建，持续做好《信访工作条例宣传》，推动依法及时就地解决群众合理合法诉求，维护社会和谐稳定。</w:t>
            </w:r>
          </w:p>
        </w:tc>
        <w:tc>
          <w:tcPr>
            <w:tcW w:w="50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推动垃圾池迁址等44件事关群众切身利益的实际问题，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深入贯彻落实《信访工作条例》，排查出45名重点人员和3个重点群体。明确区级党政领导包案，加强调度协调，推动问题化解，确保矛盾纠纷隐患早发现、早防范、早处置。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0分)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持续开展《信访工作条例》宣传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≥5万元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200" w:firstLineChars="10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已完成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信访宣传品数量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≥20000个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  已完成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创建省信访工作示范区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=100%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信访事项按期结案率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=100%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年度各项任务完成期限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2023年12月31日前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2023年12月20日前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预算控制率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控制非生产性开支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有效控制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妥善处理突发事件化解率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不影响生态环境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不影响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需进一步完善生态效益指标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信访总量下降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eastAsia="zh-CN"/>
              </w:rPr>
              <w:t>效果显著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效果显著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2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群众满意度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  <w:tc>
          <w:tcPr>
            <w:tcW w:w="2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填报日期：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联系电话：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Times New Roman" w:hAnsi="Times New Roman" w:eastAsia="仿宋_GB2312" w:cs="Times New Roman"/>
          <w:sz w:val="22"/>
          <w:szCs w:val="22"/>
          <w:highlight w:val="none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E55167"/>
    <w:multiLevelType w:val="singleLevel"/>
    <w:tmpl w:val="A5E55167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113A4A2"/>
    <w:multiLevelType w:val="singleLevel"/>
    <w:tmpl w:val="1113A4A2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425036FE"/>
    <w:multiLevelType w:val="singleLevel"/>
    <w:tmpl w:val="425036FE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7F0490DB"/>
    <w:multiLevelType w:val="singleLevel"/>
    <w:tmpl w:val="7F0490D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7F66692C"/>
    <w:multiLevelType w:val="singleLevel"/>
    <w:tmpl w:val="7F66692C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k4OWI1YTBjMDVmMmNiM2E1MjU2ZTkzMDY0OTdlNjQifQ=="/>
  </w:docVars>
  <w:rsids>
    <w:rsidRoot w:val="59886344"/>
    <w:rsid w:val="005C088A"/>
    <w:rsid w:val="0061443A"/>
    <w:rsid w:val="00F57038"/>
    <w:rsid w:val="03585F5D"/>
    <w:rsid w:val="0368705F"/>
    <w:rsid w:val="03E40645"/>
    <w:rsid w:val="05F16DA0"/>
    <w:rsid w:val="067D155B"/>
    <w:rsid w:val="077D6506"/>
    <w:rsid w:val="08D531AA"/>
    <w:rsid w:val="0AA752E9"/>
    <w:rsid w:val="0B045DCF"/>
    <w:rsid w:val="0B521208"/>
    <w:rsid w:val="0BD0037E"/>
    <w:rsid w:val="0BD07CC1"/>
    <w:rsid w:val="0FC41FA8"/>
    <w:rsid w:val="104073FF"/>
    <w:rsid w:val="12EB7235"/>
    <w:rsid w:val="13D670D0"/>
    <w:rsid w:val="13DA2702"/>
    <w:rsid w:val="1405311A"/>
    <w:rsid w:val="153C2B2D"/>
    <w:rsid w:val="172B2124"/>
    <w:rsid w:val="172D2B29"/>
    <w:rsid w:val="17DC7904"/>
    <w:rsid w:val="18096877"/>
    <w:rsid w:val="18A72D74"/>
    <w:rsid w:val="19580840"/>
    <w:rsid w:val="198A7D37"/>
    <w:rsid w:val="1CA92FCC"/>
    <w:rsid w:val="1DD737EE"/>
    <w:rsid w:val="1E284F2F"/>
    <w:rsid w:val="1ECA401E"/>
    <w:rsid w:val="1F417171"/>
    <w:rsid w:val="1F9C4CF0"/>
    <w:rsid w:val="1FE13D1F"/>
    <w:rsid w:val="1FE411A4"/>
    <w:rsid w:val="20717F2A"/>
    <w:rsid w:val="20F87A39"/>
    <w:rsid w:val="216B6728"/>
    <w:rsid w:val="24BE2C1C"/>
    <w:rsid w:val="27CB7F20"/>
    <w:rsid w:val="292C7FA1"/>
    <w:rsid w:val="2A100353"/>
    <w:rsid w:val="2A450AA9"/>
    <w:rsid w:val="2B0F3E96"/>
    <w:rsid w:val="2B163DB4"/>
    <w:rsid w:val="2BAA0E41"/>
    <w:rsid w:val="2D410C84"/>
    <w:rsid w:val="2E1368E2"/>
    <w:rsid w:val="2F0E4B96"/>
    <w:rsid w:val="2F2045CC"/>
    <w:rsid w:val="320B53DF"/>
    <w:rsid w:val="321D3FE2"/>
    <w:rsid w:val="32A73338"/>
    <w:rsid w:val="32C548F8"/>
    <w:rsid w:val="35CF5E74"/>
    <w:rsid w:val="38C118F0"/>
    <w:rsid w:val="3B23785C"/>
    <w:rsid w:val="3B755C27"/>
    <w:rsid w:val="3C156456"/>
    <w:rsid w:val="3C591B47"/>
    <w:rsid w:val="3CF73497"/>
    <w:rsid w:val="3D070645"/>
    <w:rsid w:val="3D3954D4"/>
    <w:rsid w:val="3DC87AFE"/>
    <w:rsid w:val="3F696B11"/>
    <w:rsid w:val="41B63929"/>
    <w:rsid w:val="41E53E7C"/>
    <w:rsid w:val="41F76A00"/>
    <w:rsid w:val="42182D4E"/>
    <w:rsid w:val="421D3616"/>
    <w:rsid w:val="427C2F78"/>
    <w:rsid w:val="42907FB1"/>
    <w:rsid w:val="43087A30"/>
    <w:rsid w:val="43B151C2"/>
    <w:rsid w:val="440B0BF3"/>
    <w:rsid w:val="4441183E"/>
    <w:rsid w:val="445265DF"/>
    <w:rsid w:val="44930287"/>
    <w:rsid w:val="457B3FA5"/>
    <w:rsid w:val="458D5615"/>
    <w:rsid w:val="471E22EE"/>
    <w:rsid w:val="47F62B74"/>
    <w:rsid w:val="4829354E"/>
    <w:rsid w:val="497F0684"/>
    <w:rsid w:val="49A50F0B"/>
    <w:rsid w:val="49C65963"/>
    <w:rsid w:val="49FF2520"/>
    <w:rsid w:val="4A747320"/>
    <w:rsid w:val="4B4A2975"/>
    <w:rsid w:val="4B632792"/>
    <w:rsid w:val="4B9C166F"/>
    <w:rsid w:val="4C404189"/>
    <w:rsid w:val="4E8F158A"/>
    <w:rsid w:val="4EC87298"/>
    <w:rsid w:val="503F0BFC"/>
    <w:rsid w:val="513C11EA"/>
    <w:rsid w:val="51F14880"/>
    <w:rsid w:val="522400A9"/>
    <w:rsid w:val="540612DD"/>
    <w:rsid w:val="54326440"/>
    <w:rsid w:val="56A92D79"/>
    <w:rsid w:val="56EE3E47"/>
    <w:rsid w:val="570F7BE9"/>
    <w:rsid w:val="577354C1"/>
    <w:rsid w:val="58390C8D"/>
    <w:rsid w:val="59886344"/>
    <w:rsid w:val="59BB0154"/>
    <w:rsid w:val="5AF440A0"/>
    <w:rsid w:val="5B192C82"/>
    <w:rsid w:val="5B411CCC"/>
    <w:rsid w:val="5B950730"/>
    <w:rsid w:val="5C1263A3"/>
    <w:rsid w:val="5EE144F9"/>
    <w:rsid w:val="60251BBC"/>
    <w:rsid w:val="61045C75"/>
    <w:rsid w:val="619E0691"/>
    <w:rsid w:val="62D378CB"/>
    <w:rsid w:val="63202106"/>
    <w:rsid w:val="6410048D"/>
    <w:rsid w:val="64B37AF4"/>
    <w:rsid w:val="64CF6C8F"/>
    <w:rsid w:val="674F6FAE"/>
    <w:rsid w:val="68050B78"/>
    <w:rsid w:val="68DD5D2B"/>
    <w:rsid w:val="6A7B3442"/>
    <w:rsid w:val="6B99345E"/>
    <w:rsid w:val="6C303DC2"/>
    <w:rsid w:val="6CA97D11"/>
    <w:rsid w:val="6D7E46BA"/>
    <w:rsid w:val="6E705326"/>
    <w:rsid w:val="6EBC4974"/>
    <w:rsid w:val="6EC01A4C"/>
    <w:rsid w:val="6F0D3B6F"/>
    <w:rsid w:val="6F9C52CB"/>
    <w:rsid w:val="70F133F4"/>
    <w:rsid w:val="713C0270"/>
    <w:rsid w:val="71516148"/>
    <w:rsid w:val="72744FEC"/>
    <w:rsid w:val="73102258"/>
    <w:rsid w:val="73E864FB"/>
    <w:rsid w:val="758D6016"/>
    <w:rsid w:val="767D7DFF"/>
    <w:rsid w:val="7728263E"/>
    <w:rsid w:val="78E73A5B"/>
    <w:rsid w:val="79607369"/>
    <w:rsid w:val="798C015E"/>
    <w:rsid w:val="7A4C3647"/>
    <w:rsid w:val="7A5614FA"/>
    <w:rsid w:val="7C7D6B26"/>
    <w:rsid w:val="7C9150AE"/>
    <w:rsid w:val="7D891E60"/>
    <w:rsid w:val="7F2A13E6"/>
    <w:rsid w:val="7F343489"/>
    <w:rsid w:val="7FD579D2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3">
    <w:name w:val="Body Text"/>
    <w:basedOn w:val="1"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7">
    <w:name w:val="BodyText"/>
    <w:basedOn w:val="1"/>
    <w:next w:val="8"/>
    <w:qFormat/>
    <w:uiPriority w:val="0"/>
    <w:pPr>
      <w:textAlignment w:val="baseline"/>
    </w:pPr>
    <w:rPr>
      <w:rFonts w:ascii="仿宋_GB2312" w:hAnsi="仿宋_GB2312" w:eastAsia="仿宋_GB2312"/>
      <w:sz w:val="32"/>
      <w:szCs w:val="32"/>
      <w:lang w:val="zh-CN" w:bidi="zh-CN"/>
    </w:rPr>
  </w:style>
  <w:style w:type="paragraph" w:customStyle="1" w:styleId="8">
    <w:name w:val="BodyText1I"/>
    <w:basedOn w:val="7"/>
    <w:qFormat/>
    <w:uiPriority w:val="0"/>
    <w:pPr>
      <w:ind w:firstLine="420" w:firstLineChars="100"/>
      <w:textAlignment w:val="baseline"/>
    </w:pPr>
    <w:rPr>
      <w:rFonts w:ascii="仿宋_GB2312" w:hAnsi="仿宋_GB2312" w:eastAsia="仿宋_GB2312" w:cs="宋体"/>
      <w:sz w:val="32"/>
      <w:szCs w:val="32"/>
      <w:lang w:val="zh-CN" w:bidi="zh-CN"/>
    </w:r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paragraph" w:styleId="10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3591</Words>
  <Characters>3885</Characters>
  <Lines>0</Lines>
  <Paragraphs>0</Paragraphs>
  <TotalTime>0</TotalTime>
  <ScaleCrop>false</ScaleCrop>
  <LinksUpToDate>false</LinksUpToDate>
  <CharactersWithSpaces>4090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李瑞</cp:lastModifiedBy>
  <dcterms:modified xsi:type="dcterms:W3CDTF">2024-06-30T13:39:45Z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12C804FB5DC74582993175EDEB038DA2_13</vt:lpwstr>
  </property>
</Properties>
</file>