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eastAsia="方正小标宋_GBK"/>
          <w:bCs/>
          <w:kern w:val="0"/>
          <w:sz w:val="44"/>
          <w:szCs w:val="44"/>
        </w:rPr>
        <w:t>君山区工商业联合会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君山区工商业联合会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（此页为封面）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eastAsia="方正小标宋_GBK"/>
          <w:bCs/>
          <w:kern w:val="0"/>
          <w:sz w:val="44"/>
          <w:szCs w:val="44"/>
        </w:rPr>
        <w:t>君山区工商业联合会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pStyle w:val="5"/>
        <w:shd w:val="clear" w:color="auto" w:fill="FFFFFF"/>
        <w:spacing w:before="0" w:beforeAutospacing="0" w:after="0" w:afterAutospacing="0" w:line="600" w:lineRule="exact"/>
        <w:ind w:firstLine="480"/>
        <w:jc w:val="both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区工商联是区委、区政府联系非公有制经济人士的桥梁和纽带，是区政府管理非公有制经济的助手。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</w:t>
      </w:r>
      <w:r>
        <w:rPr>
          <w:rFonts w:eastAsia="仿宋_GB2312"/>
          <w:sz w:val="32"/>
          <w:szCs w:val="32"/>
        </w:rPr>
        <w:t>加强和改进非</w:t>
      </w:r>
      <w:r>
        <w:rPr>
          <w:rFonts w:hint="eastAsia" w:eastAsia="仿宋_GB2312"/>
          <w:sz w:val="32"/>
          <w:szCs w:val="32"/>
        </w:rPr>
        <w:t>公</w:t>
      </w:r>
      <w:r>
        <w:rPr>
          <w:rFonts w:eastAsia="仿宋_GB2312"/>
          <w:sz w:val="32"/>
          <w:szCs w:val="32"/>
        </w:rPr>
        <w:t>有制经济人士思想政治工作；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</w:t>
      </w:r>
      <w:r>
        <w:rPr>
          <w:rFonts w:eastAsia="仿宋_GB2312"/>
          <w:sz w:val="32"/>
          <w:szCs w:val="32"/>
        </w:rPr>
        <w:t>参与政治协商，发挥民主监督作用，积极参政议政；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</w:t>
      </w:r>
      <w:r>
        <w:rPr>
          <w:rFonts w:eastAsia="仿宋_GB2312"/>
          <w:sz w:val="32"/>
          <w:szCs w:val="32"/>
        </w:rPr>
        <w:t>协助政府管理和服务非公有制经济；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</w:t>
      </w:r>
      <w:r>
        <w:rPr>
          <w:rFonts w:eastAsia="仿宋_GB2312"/>
          <w:sz w:val="32"/>
          <w:szCs w:val="32"/>
        </w:rPr>
        <w:t>促进行业协会商会改革发展；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</w:t>
      </w:r>
      <w:r>
        <w:rPr>
          <w:rFonts w:eastAsia="仿宋_GB2312"/>
          <w:sz w:val="32"/>
          <w:szCs w:val="32"/>
        </w:rPr>
        <w:t>反映非公有制企业和非公有制经济人士利益诉求，维护其合法权益；参与经济纠纷的调解、仲裁；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</w:t>
      </w:r>
      <w:r>
        <w:rPr>
          <w:rFonts w:eastAsia="仿宋_GB2312"/>
          <w:sz w:val="32"/>
          <w:szCs w:val="32"/>
        </w:rPr>
        <w:t>承办区委、区政府交办的其它事项。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设</w:t>
      </w:r>
      <w:r>
        <w:rPr>
          <w:rFonts w:hint="eastAsia" w:eastAsia="仿宋_GB2312"/>
          <w:sz w:val="32"/>
          <w:szCs w:val="32"/>
        </w:rPr>
        <w:t>内设机构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个，为</w:t>
      </w:r>
      <w:r>
        <w:rPr>
          <w:rFonts w:eastAsia="仿宋_GB2312"/>
          <w:sz w:val="32"/>
          <w:szCs w:val="32"/>
        </w:rPr>
        <w:t>综合办公室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  <w:lang w:val="en-US" w:eastAsia="zh-CN"/>
        </w:rPr>
        <w:t>民营企业服务中心</w:t>
      </w:r>
      <w:r>
        <w:rPr>
          <w:rFonts w:eastAsia="仿宋_GB2312"/>
          <w:sz w:val="32"/>
          <w:szCs w:val="32"/>
        </w:rPr>
        <w:t>，履行区工商联相关职责，承办各项具体工作。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效目标：深化思想引领，画好民营经济领域“同心圆”；主动担当作为，当好政企沟通的“连心桥”；聚力精准服务，当好民营企业的“贴心人”;夯实组织建设，凝聚工商联“向心力”。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38" w:leftChars="228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项目支出绩效目标：加强组织建设、履行各项职能、拓展服务领域、提高服务能效，各项工作成果显著，为促进君山区民营经济高质量发展贡献了智慧和力量。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一</w:t>
      </w:r>
      <w:r>
        <w:rPr>
          <w:rFonts w:hint="default" w:ascii="Times New Roman" w:hAnsi="Times New Roman" w:eastAsia="黑体" w:cs="Times New Roman"/>
          <w:sz w:val="32"/>
          <w:szCs w:val="32"/>
        </w:rPr>
        <w:t>般公共预算支出情况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2023年本部门预算资金24万元（基本支出24万元，项目支出0万元），全年实际支出24万元，其中基本支出24万元，项目支出0万元，预算执行率100%。　　　　　　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（一）基本支出情况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全年预算24万元（工资福利支出0万元、商品和服务支出24万元、对个人和家庭的补助0万元、资本性支出0万元），其中一般公共预算财政拨款24万元；单位其他资金0万元。本单位2023年度基本支出0万元（工资福利支出0万元、商品和服务支出0万元、对个人和家庭的补助0万元、资本性支出0万元）），其中人员经费0万元，公用经费0万元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预算24万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元，</w:t>
      </w:r>
      <w:r>
        <w:rPr>
          <w:rFonts w:hint="eastAsia" w:eastAsia="仿宋_GB2312"/>
          <w:sz w:val="32"/>
          <w:szCs w:val="32"/>
        </w:rPr>
        <w:t>主要是部门为完成特定行政工作任务或事业发展目标而发生的支出，包括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</w:rPr>
        <w:t>业务工作经费支出、运行维护经费</w:t>
      </w:r>
      <w:r>
        <w:rPr>
          <w:rFonts w:eastAsia="仿宋_GB2312"/>
          <w:sz w:val="32"/>
          <w:szCs w:val="32"/>
        </w:rPr>
        <w:t>等</w:t>
      </w:r>
      <w:r>
        <w:rPr>
          <w:rFonts w:hint="eastAsia" w:eastAsia="仿宋_GB2312"/>
          <w:sz w:val="32"/>
          <w:szCs w:val="32"/>
        </w:rPr>
        <w:t>，其中：业务工作经费支出24万元，主要用于企业党建，企业沙龙及其他日常工作经费等方面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2023年本单位无此项支出。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万元，为年初预算的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%。根据《部门整体支出绩效自评表》自评得分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根据政府采购和资产管理要求，建立了资产实物管理台账，根据各股室的需求制订了采购计划，按国有资产配置、政府采购和有关规定按程序在电子卖场进行采购活动。2023年底，本单位固定资产原值0万元，净值0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组织企业家代表赴延安开展2023年君山区“五学两助”主题活动暨党外代表人士暑期谈心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Hans" w:bidi="ar"/>
        </w:rPr>
        <w:t>谈话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活动</w:t>
      </w:r>
      <w:r>
        <w:rPr>
          <w:rFonts w:hint="eastAsia" w:ascii="仿宋_GB2312" w:hAnsi="仿宋_GB2312" w:eastAsia="仿宋_GB2312" w:cs="仿宋_GB2312"/>
          <w:color w:val="0000FF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组织开展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Hans" w:bidi="ar"/>
        </w:rPr>
        <w:t>“宣讲二十大，奋进新时代，泼墨丹青写清廉”专题书画笔会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活动，指导广兴洲商会开展“迎中秋 庆国庆 护碧水 话振兴”活动，弘扬爱国精神，坚定理想信念。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积极推进分路口社区争创市级同心美丽乡村示范点，已初具成效。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引导民营企业积极参与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“万企兴万村”行动，组织18家民营企业对接帮扶村（社区），助力乡村振兴。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组织</w:t>
      </w:r>
      <w:r>
        <w:rPr>
          <w:rFonts w:hint="eastAsia" w:ascii="仿宋_GB2312" w:hAnsi="方正仿宋_GB2312" w:eastAsia="仿宋_GB2312" w:cs="方正仿宋_GB2312"/>
          <w:bCs/>
          <w:sz w:val="32"/>
          <w:szCs w:val="32"/>
          <w:lang w:val="en-US" w:eastAsia="zh-CN"/>
        </w:rPr>
        <w:t>君盛建工、君和建筑、博凯制衣、三利和、新宏食品等13家企业参加区2023年“金秋助学 梦想起航”捐资助学活动，捐赠资金100余万元，资助奖励大学生198名。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各基层商会、执委企业积极开展关心关爱老人、困难学生等弱势群体活动，端午节、中秋节、春节积极组织开展慰问活动，充分彰显勇于担当、扶危济困的社会责任和奉献精神。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　　无。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6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 xml:space="preserve"> </w:t>
      </w: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6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君山区工商业联合会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1.增强工商联凝聚力、执行力、影响力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2.充分彰显勇于担当、扶危济困的社会责任和奉献精神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3.优化营商环境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1.召开“湘商回归”寓外乡友迎春茶话会，组织第三届岳商大会“岳商君山行”活动，凝聚思想共识，汇聚发展力量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2.各基层商会、执委企业积极开展关心关爱老人、困难学生等弱势群体活动，端午节、中秋节、春节积极组织开展慰问活动</w:t>
            </w:r>
          </w:p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.制定出台《2023年君山区迎接湖南省营商环境主观评价工作实施方案》，组织科工、市场监管、住建、商粮等职能部门召开推进会议，完善工作机制，强化工作职责，助力改进工作作风、提升机关效能、优化营商环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维护企业权益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5件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5件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专题调研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组织会员企业家开展学习交流活动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万家民企评营商环境”问卷填写率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70%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政策宣传及时率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民营经济发展水平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民营企业社会责任感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水电节约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减少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减少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企业环保意识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有效促进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有效促进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党委、政府会员企业及民营经济代表人士满意度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6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4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/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MjdlZjQ5YjRhZjNkYTU5MWJjNTdiM2YyYzk4OWIifQ=="/>
  </w:docVars>
  <w:rsids>
    <w:rsidRoot w:val="5CC73AEB"/>
    <w:rsid w:val="04D06013"/>
    <w:rsid w:val="04D1736D"/>
    <w:rsid w:val="075449B1"/>
    <w:rsid w:val="07DC6755"/>
    <w:rsid w:val="08FD2E27"/>
    <w:rsid w:val="0A0A7F8B"/>
    <w:rsid w:val="0A371911"/>
    <w:rsid w:val="0BFE7CB0"/>
    <w:rsid w:val="0CEC52A6"/>
    <w:rsid w:val="10282537"/>
    <w:rsid w:val="156E60BC"/>
    <w:rsid w:val="15E11B06"/>
    <w:rsid w:val="16B23BE3"/>
    <w:rsid w:val="18DD19B3"/>
    <w:rsid w:val="1A4B69F3"/>
    <w:rsid w:val="1BC7354C"/>
    <w:rsid w:val="1D7D1305"/>
    <w:rsid w:val="20BE7648"/>
    <w:rsid w:val="20F65D78"/>
    <w:rsid w:val="217301A0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8B7797A"/>
    <w:rsid w:val="3AE10137"/>
    <w:rsid w:val="3DD671C7"/>
    <w:rsid w:val="3E4B54BF"/>
    <w:rsid w:val="401E2B47"/>
    <w:rsid w:val="406A21FA"/>
    <w:rsid w:val="406A4374"/>
    <w:rsid w:val="40DB004A"/>
    <w:rsid w:val="44143CA0"/>
    <w:rsid w:val="48587156"/>
    <w:rsid w:val="4986331F"/>
    <w:rsid w:val="4D6C56FA"/>
    <w:rsid w:val="55642FF8"/>
    <w:rsid w:val="561F12B3"/>
    <w:rsid w:val="58570C3F"/>
    <w:rsid w:val="58CC01A0"/>
    <w:rsid w:val="5C20569F"/>
    <w:rsid w:val="5C82434A"/>
    <w:rsid w:val="5CC73AEB"/>
    <w:rsid w:val="5DA402F0"/>
    <w:rsid w:val="60C3659A"/>
    <w:rsid w:val="660C4E9E"/>
    <w:rsid w:val="66BC66AA"/>
    <w:rsid w:val="689A76AB"/>
    <w:rsid w:val="6A94006A"/>
    <w:rsid w:val="6C823EF2"/>
    <w:rsid w:val="6DC1343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">
    <w:name w:val="NormalCharacter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5251</Words>
  <Characters>5490</Characters>
  <Lines>0</Lines>
  <Paragraphs>0</Paragraphs>
  <TotalTime>0</TotalTime>
  <ScaleCrop>false</ScaleCrop>
  <LinksUpToDate>false</LinksUpToDate>
  <CharactersWithSpaces>5815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2024-07-01T01:11:59Z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63913141649F424A9A1255CAA3621275_13</vt:lpwstr>
  </property>
</Properties>
</file>