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28"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8"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91.67%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u w:val="none"/>
                <w:lang w:val="en-US" w:eastAsia="zh-CN"/>
              </w:rPr>
              <w:t>0.33</w:t>
            </w: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kern w:val="0"/>
                <w:sz w:val="20"/>
                <w:szCs w:val="20"/>
                <w:highlight w:val="none"/>
                <w:u w:val="none"/>
                <w:lang w:val="en-US" w:eastAsia="zh-CN" w:bidi="ar-SA"/>
              </w:rPr>
            </w:pPr>
            <w:r>
              <w:rPr>
                <w:rFonts w:hint="eastAsia" w:ascii="仿宋_GB2312" w:hAnsi="仿宋_GB2312" w:eastAsia="仿宋_GB2312" w:cs="仿宋_GB2312"/>
                <w:color w:val="auto"/>
                <w:sz w:val="20"/>
                <w:szCs w:val="20"/>
                <w:highlight w:val="none"/>
                <w:u w:val="none"/>
                <w:lang w:val="en-US" w:eastAsia="zh-CN"/>
              </w:rPr>
              <w:t>0.33</w:t>
            </w:r>
            <w:r>
              <w:rPr>
                <w:rFonts w:hint="eastAsia" w:ascii="仿宋_GB2312" w:hAnsi="仿宋_GB2312" w:eastAsia="仿宋_GB2312" w:cs="仿宋_GB2312"/>
                <w:color w:val="auto"/>
                <w:sz w:val="20"/>
                <w:szCs w:val="20"/>
                <w:highlight w:val="none"/>
                <w:u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lang w:val="en-US" w:eastAsia="zh-CN"/>
              </w:rPr>
              <w:t>60.89</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color w:val="auto"/>
                <w:sz w:val="20"/>
                <w:szCs w:val="20"/>
                <w:highlight w:val="none"/>
                <w:u w:val="none"/>
                <w:lang w:val="en-US"/>
              </w:rPr>
            </w:pPr>
            <w:r>
              <w:rPr>
                <w:rFonts w:hint="eastAsia" w:ascii="仿宋_GB2312" w:hAnsi="仿宋_GB2312" w:eastAsia="仿宋_GB2312" w:cs="仿宋_GB2312"/>
                <w:color w:val="auto"/>
                <w:sz w:val="20"/>
                <w:szCs w:val="20"/>
                <w:highlight w:val="none"/>
                <w:u w:val="none"/>
                <w:lang w:val="en-US" w:eastAsia="zh-CN"/>
              </w:rPr>
              <w:t>60.89</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31.97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u w:val="none"/>
                <w:lang w:val="en-US" w:eastAsia="zh-CN"/>
              </w:rPr>
              <w:t>55.51</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color w:val="auto"/>
                <w:sz w:val="20"/>
                <w:szCs w:val="20"/>
                <w:highlight w:val="none"/>
                <w:u w:val="none"/>
                <w:lang w:val="en-US"/>
              </w:rPr>
            </w:pPr>
            <w:r>
              <w:rPr>
                <w:rFonts w:hint="eastAsia" w:ascii="仿宋_GB2312" w:hAnsi="仿宋_GB2312" w:eastAsia="仿宋_GB2312" w:cs="仿宋_GB2312"/>
                <w:color w:val="auto"/>
                <w:sz w:val="20"/>
                <w:szCs w:val="20"/>
                <w:highlight w:val="none"/>
                <w:u w:val="none"/>
                <w:lang w:val="en-US" w:eastAsia="zh-CN"/>
              </w:rPr>
              <w:t>55.51</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9.16</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b w:val="0"/>
                <w:bCs w:val="0"/>
                <w:color w:val="auto"/>
                <w:sz w:val="20"/>
                <w:szCs w:val="20"/>
                <w:highlight w:val="none"/>
                <w:lang w:val="en-US"/>
              </w:rPr>
            </w:pPr>
            <w:r>
              <w:rPr>
                <w:rFonts w:hint="eastAsia" w:ascii="仿宋_GB2312" w:hAnsi="仿宋_GB2312" w:eastAsia="仿宋_GB2312" w:cs="仿宋_GB2312"/>
                <w:b w:val="0"/>
                <w:bCs w:val="0"/>
                <w:color w:val="auto"/>
                <w:sz w:val="20"/>
                <w:szCs w:val="20"/>
                <w:highlight w:val="none"/>
                <w:lang w:val="en-US" w:eastAsia="zh-CN"/>
              </w:rPr>
              <w:t>8.37</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8.37</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0.62</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1.33</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1.33</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2.4</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2.4</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28"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164" w:type="dxa"/>
        <w:jc w:val="center"/>
        <w:tblLayout w:type="autofit"/>
        <w:tblCellMar>
          <w:top w:w="0" w:type="dxa"/>
          <w:left w:w="108" w:type="dxa"/>
          <w:bottom w:w="0" w:type="dxa"/>
          <w:right w:w="108" w:type="dxa"/>
        </w:tblCellMar>
      </w:tblPr>
      <w:tblGrid>
        <w:gridCol w:w="1040"/>
        <w:gridCol w:w="1077"/>
        <w:gridCol w:w="1033"/>
        <w:gridCol w:w="1483"/>
        <w:gridCol w:w="1227"/>
        <w:gridCol w:w="1269"/>
        <w:gridCol w:w="716"/>
        <w:gridCol w:w="873"/>
        <w:gridCol w:w="1446"/>
      </w:tblGrid>
      <w:tr>
        <w:tblPrEx>
          <w:tblCellMar>
            <w:top w:w="0" w:type="dxa"/>
            <w:left w:w="108" w:type="dxa"/>
            <w:bottom w:w="0" w:type="dxa"/>
            <w:right w:w="108" w:type="dxa"/>
          </w:tblCellMar>
        </w:tblPrEx>
        <w:trPr>
          <w:trHeight w:val="835"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124"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中共岳阳市君山区委巡察工作领导小组办公室　</w:t>
            </w:r>
          </w:p>
        </w:tc>
      </w:tr>
      <w:tr>
        <w:tblPrEx>
          <w:tblCellMar>
            <w:top w:w="0" w:type="dxa"/>
            <w:left w:w="108" w:type="dxa"/>
            <w:bottom w:w="0" w:type="dxa"/>
            <w:right w:w="108" w:type="dxa"/>
          </w:tblCellMar>
        </w:tblPrEx>
        <w:trPr>
          <w:trHeight w:val="793" w:hRule="atLeast"/>
          <w:jc w:val="center"/>
        </w:trPr>
        <w:tc>
          <w:tcPr>
            <w:tcW w:w="1040" w:type="dxa"/>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0" w:type="dxa"/>
            <w:gridSpan w:val="2"/>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p>
        </w:tc>
        <w:tc>
          <w:tcPr>
            <w:tcW w:w="14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2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798" w:hRule="atLeast"/>
          <w:jc w:val="center"/>
        </w:trPr>
        <w:tc>
          <w:tcPr>
            <w:tcW w:w="1040" w:type="dxa"/>
            <w:vMerge w:val="continue"/>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2110" w:type="dxa"/>
            <w:gridSpan w:val="2"/>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8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263.38</w:t>
            </w:r>
          </w:p>
        </w:tc>
        <w:tc>
          <w:tcPr>
            <w:tcW w:w="1227"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276.7</w:t>
            </w:r>
          </w:p>
        </w:tc>
        <w:tc>
          <w:tcPr>
            <w:tcW w:w="1269"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276.7</w:t>
            </w:r>
          </w:p>
        </w:tc>
        <w:tc>
          <w:tcPr>
            <w:tcW w:w="71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trHeight w:val="767" w:hRule="atLeast"/>
          <w:jc w:val="center"/>
        </w:trPr>
        <w:tc>
          <w:tcPr>
            <w:tcW w:w="104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按支出性质分：</w:t>
            </w:r>
          </w:p>
        </w:tc>
      </w:tr>
      <w:tr>
        <w:tblPrEx>
          <w:tblCellMar>
            <w:top w:w="0" w:type="dxa"/>
            <w:left w:w="108" w:type="dxa"/>
            <w:bottom w:w="0" w:type="dxa"/>
            <w:right w:w="108" w:type="dxa"/>
          </w:tblCellMar>
        </w:tblPrEx>
        <w:trPr>
          <w:trHeight w:val="738" w:hRule="atLeast"/>
          <w:jc w:val="center"/>
        </w:trPr>
        <w:tc>
          <w:tcPr>
            <w:tcW w:w="104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265.45</w:t>
            </w:r>
          </w:p>
        </w:tc>
        <w:tc>
          <w:tcPr>
            <w:tcW w:w="4304"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其中：基本支出：</w:t>
            </w:r>
            <w:r>
              <w:rPr>
                <w:rFonts w:hint="eastAsia" w:ascii="仿宋_GB2312" w:hAnsi="仿宋_GB2312" w:eastAsia="仿宋_GB2312" w:cs="仿宋_GB2312"/>
                <w:color w:val="auto"/>
                <w:sz w:val="20"/>
                <w:szCs w:val="20"/>
                <w:highlight w:val="none"/>
                <w:lang w:val="en-US" w:eastAsia="zh-CN"/>
              </w:rPr>
              <w:t>215.81</w:t>
            </w:r>
          </w:p>
        </w:tc>
      </w:tr>
      <w:tr>
        <w:tblPrEx>
          <w:tblCellMar>
            <w:top w:w="0" w:type="dxa"/>
            <w:left w:w="108" w:type="dxa"/>
            <w:bottom w:w="0" w:type="dxa"/>
            <w:right w:w="108" w:type="dxa"/>
          </w:tblCellMar>
        </w:tblPrEx>
        <w:trPr>
          <w:trHeight w:val="737" w:hRule="atLeast"/>
          <w:jc w:val="center"/>
        </w:trPr>
        <w:tc>
          <w:tcPr>
            <w:tcW w:w="104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600" w:firstLineChars="3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项目支出：</w:t>
            </w:r>
            <w:r>
              <w:rPr>
                <w:rFonts w:hint="eastAsia" w:ascii="仿宋_GB2312" w:hAnsi="仿宋_GB2312" w:eastAsia="仿宋_GB2312" w:cs="仿宋_GB2312"/>
                <w:color w:val="auto"/>
                <w:sz w:val="20"/>
                <w:szCs w:val="20"/>
                <w:highlight w:val="none"/>
                <w:lang w:val="en-US" w:eastAsia="zh-CN"/>
              </w:rPr>
              <w:t>60.89</w:t>
            </w:r>
          </w:p>
        </w:tc>
      </w:tr>
      <w:tr>
        <w:tblPrEx>
          <w:tblCellMar>
            <w:top w:w="0" w:type="dxa"/>
            <w:left w:w="108" w:type="dxa"/>
            <w:bottom w:w="0" w:type="dxa"/>
            <w:right w:w="108" w:type="dxa"/>
          </w:tblCellMar>
        </w:tblPrEx>
        <w:trPr>
          <w:trHeight w:val="807" w:hRule="atLeast"/>
          <w:jc w:val="center"/>
        </w:trPr>
        <w:tc>
          <w:tcPr>
            <w:tcW w:w="104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33" w:hRule="atLeast"/>
          <w:jc w:val="center"/>
        </w:trPr>
        <w:tc>
          <w:tcPr>
            <w:tcW w:w="1040"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11.25</w:t>
            </w:r>
          </w:p>
        </w:tc>
        <w:tc>
          <w:tcPr>
            <w:tcW w:w="4304" w:type="dxa"/>
            <w:gridSpan w:val="4"/>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89" w:hRule="atLeast"/>
          <w:jc w:val="center"/>
        </w:trPr>
        <w:tc>
          <w:tcPr>
            <w:tcW w:w="1040" w:type="dxa"/>
            <w:vMerge w:val="restart"/>
            <w:tcBorders>
              <w:top w:val="nil"/>
              <w:left w:val="single" w:color="auto"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20"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5665" w:hRule="atLeast"/>
          <w:jc w:val="center"/>
        </w:trPr>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4820" w:type="dxa"/>
            <w:gridSpan w:val="4"/>
            <w:tcBorders>
              <w:top w:val="single" w:color="auto" w:sz="4" w:space="0"/>
              <w:left w:val="nil"/>
              <w:bottom w:val="single" w:color="auto"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lang w:val="en-US" w:eastAsia="zh-CN"/>
              </w:rPr>
            </w:pPr>
          </w:p>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lang w:val="en-US" w:eastAsia="zh-CN"/>
              </w:rPr>
            </w:pPr>
          </w:p>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lang w:val="en-US" w:eastAsia="zh-CN"/>
              </w:rPr>
            </w:pPr>
          </w:p>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lang w:val="en-US" w:eastAsia="zh-CN"/>
              </w:rPr>
            </w:pPr>
          </w:p>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lang w:val="en-US" w:eastAsia="zh-CN"/>
              </w:rPr>
            </w:pPr>
          </w:p>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目标1：完成全区巡察工作有关的政策研究、制度建设等工作；                                                                                                   目标2：统筹、协调、指导区委巡察组开展工作；                                                                           目标3： 对区委和区委巡察工作领导小组决定的事项及巡察移交事项进行督办；                                                                                               目标4：配合有关部门对巡察工作人员进行培训、考核、监督和管理。</w:t>
            </w:r>
          </w:p>
        </w:tc>
        <w:tc>
          <w:tcPr>
            <w:tcW w:w="4304" w:type="dxa"/>
            <w:gridSpan w:val="4"/>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firstLine="400" w:firstLineChars="200"/>
              <w:jc w:val="left"/>
              <w:textAlignment w:val="top"/>
              <w:rPr>
                <w:rFonts w:hint="eastAsia" w:ascii="仿宋_GB2312" w:hAnsi="仿宋_GB2312" w:eastAsia="仿宋_GB2312" w:cs="仿宋_GB2312"/>
                <w:color w:val="000000"/>
                <w:kern w:val="0"/>
                <w:sz w:val="20"/>
                <w:szCs w:val="20"/>
                <w:highlight w:val="none"/>
                <w:lang w:val="en-US" w:eastAsia="zh-CN" w:bidi="ar-SA"/>
              </w:rPr>
            </w:pPr>
          </w:p>
          <w:p>
            <w:pPr>
              <w:keepNext w:val="0"/>
              <w:keepLines w:val="0"/>
              <w:widowControl/>
              <w:suppressLineNumbers w:val="0"/>
              <w:spacing w:before="0" w:beforeAutospacing="0" w:after="0" w:afterAutospacing="0"/>
              <w:ind w:left="0" w:right="0" w:firstLine="400" w:firstLineChars="200"/>
              <w:jc w:val="left"/>
              <w:textAlignment w:val="top"/>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2023年，区委巡察办深入学习贯彻党的二十大精神，习近平总书记关于巡视巡察工作重要论述，以及中央、省委、市委、区委关于巡视巡察工作指示精神，积极发挥“统筹协调、指导督导、服务保障”职能，围绕中心，服务大局，全力推动巡察工作高质量发展。先后组织开展3轮常规巡察、“三湘护农”专项巡察，采取“巡镇带村”“巡单位带村”等方式，完成对2个乡镇（街道）27个村（社区）党组织巡察。完成第二轮、第三轮巡察、违规举债和虚假化债专项巡察、招投标领域专项巡察反馈问题整改评估。</w:t>
            </w:r>
            <w:r>
              <w:rPr>
                <w:rFonts w:hint="eastAsia" w:ascii="仿宋_GB2312" w:hAnsi="仿宋_GB2312" w:eastAsia="仿宋_GB2312" w:cs="仿宋_GB2312"/>
                <w:color w:val="000000"/>
                <w:sz w:val="20"/>
                <w:szCs w:val="20"/>
                <w:highlight w:val="none"/>
                <w:lang w:val="en-US" w:eastAsia="zh-CN"/>
              </w:rPr>
              <w:t>协助领导小组出台了巡察机构与7个部门的协作配合机制、巡察人才库建设和管理办法、“三优”评选办法。组建巡察工作人才库，评选、表彰优秀巡察干部。</w:t>
            </w:r>
          </w:p>
        </w:tc>
      </w:tr>
      <w:tr>
        <w:tblPrEx>
          <w:tblCellMar>
            <w:top w:w="0" w:type="dxa"/>
            <w:left w:w="108" w:type="dxa"/>
            <w:bottom w:w="0" w:type="dxa"/>
            <w:right w:w="108" w:type="dxa"/>
          </w:tblCellMar>
        </w:tblPrEx>
        <w:trPr>
          <w:trHeight w:val="694" w:hRule="atLeast"/>
          <w:jc w:val="center"/>
        </w:trPr>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39"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50分</w:t>
            </w:r>
            <w:r>
              <w:rPr>
                <w:rFonts w:hint="eastAsia" w:ascii="仿宋_GB2312" w:hAnsi="仿宋_GB2312" w:eastAsia="仿宋_GB2312" w:cs="仿宋_GB2312"/>
                <w:color w:val="000000"/>
                <w:sz w:val="20"/>
                <w:szCs w:val="20"/>
                <w:highlight w:val="none"/>
                <w:lang w:eastAsia="zh-CN"/>
              </w:rPr>
              <w:t>）</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开展常规巡察</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开展专项巡察</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5"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开展村（社区）巡察</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7"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开展巡察整改评估</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04"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组织巡察业务培训</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70"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巡察信息化</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系统使用率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3"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巡察工作</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流程完善率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6"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优化贯通融合率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75"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巡察任务完成及时率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7" w:hRule="atLeast"/>
          <w:jc w:val="center"/>
        </w:trPr>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督办巡察移交事项及时率</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30" w:hRule="atLeast"/>
          <w:jc w:val="center"/>
        </w:trPr>
        <w:tc>
          <w:tcPr>
            <w:tcW w:w="1040" w:type="dxa"/>
            <w:vMerge w:val="continue"/>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费用开支控制在预算内执行</w:t>
            </w:r>
          </w:p>
        </w:tc>
        <w:tc>
          <w:tcPr>
            <w:tcW w:w="122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≤263.38</w:t>
            </w:r>
          </w:p>
        </w:tc>
        <w:tc>
          <w:tcPr>
            <w:tcW w:w="126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265.45</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trHeight w:val="628" w:hRule="atLeast"/>
          <w:jc w:val="center"/>
        </w:trPr>
        <w:tc>
          <w:tcPr>
            <w:tcW w:w="104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p>
        </w:tc>
        <w:tc>
          <w:tcPr>
            <w:tcW w:w="122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bookmarkStart w:id="0" w:name="_GoBack"/>
            <w:bookmarkEnd w:id="0"/>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3" w:hRule="atLeast"/>
          <w:jc w:val="center"/>
        </w:trPr>
        <w:tc>
          <w:tcPr>
            <w:tcW w:w="104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人民群众获得感、幸福感、安全感</w:t>
            </w:r>
          </w:p>
        </w:tc>
        <w:tc>
          <w:tcPr>
            <w:tcW w:w="122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增强</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增强</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4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22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49" w:hRule="atLeast"/>
          <w:jc w:val="center"/>
        </w:trPr>
        <w:tc>
          <w:tcPr>
            <w:tcW w:w="1040"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巡察单位工作作风</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有效增强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有效增强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54" w:hRule="atLeast"/>
          <w:jc w:val="center"/>
        </w:trPr>
        <w:tc>
          <w:tcPr>
            <w:tcW w:w="104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8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受益</w:t>
            </w:r>
            <w:r>
              <w:rPr>
                <w:rFonts w:hint="eastAsia" w:ascii="仿宋_GB2312" w:hAnsi="仿宋_GB2312" w:eastAsia="仿宋_GB2312" w:cs="仿宋_GB2312"/>
                <w:color w:val="000000"/>
                <w:sz w:val="20"/>
                <w:szCs w:val="20"/>
                <w:highlight w:val="none"/>
              </w:rPr>
              <w:t>群众的满意度</w:t>
            </w:r>
          </w:p>
        </w:tc>
        <w:tc>
          <w:tcPr>
            <w:tcW w:w="122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8" w:hRule="atLeast"/>
          <w:jc w:val="center"/>
        </w:trPr>
        <w:tc>
          <w:tcPr>
            <w:tcW w:w="712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年度中共岳阳市君山区委巡察工作领导小组办公室整体支出绩效自评报告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pStyle w:val="2"/>
        <w:rPr>
          <w:rFonts w:hint="default" w:ascii="Times New Roman" w:hAnsi="Times New Roman" w:eastAsia="黑体" w:cs="Times New Roman"/>
          <w:sz w:val="32"/>
          <w:szCs w:val="32"/>
          <w:highlight w:val="none"/>
        </w:rPr>
      </w:pPr>
    </w:p>
    <w:p>
      <w:pPr>
        <w:pStyle w:val="2"/>
        <w:rPr>
          <w:rFonts w:hint="default" w:ascii="Times New Roman" w:hAnsi="Times New Roman" w:eastAsia="黑体" w:cs="Times New Roman"/>
          <w:sz w:val="32"/>
          <w:szCs w:val="32"/>
          <w:highlight w:val="none"/>
        </w:rPr>
      </w:pPr>
    </w:p>
    <w:p>
      <w:pPr>
        <w:spacing w:line="600" w:lineRule="exact"/>
        <w:jc w:val="center"/>
        <w:rPr>
          <w:rFonts w:hint="eastAsia" w:ascii="仿宋" w:hAnsi="仿宋" w:eastAsia="仿宋" w:cs="仿宋"/>
          <w:sz w:val="32"/>
          <w:szCs w:val="32"/>
          <w:highlight w:val="none"/>
          <w:u w:val="single"/>
        </w:rPr>
      </w:pPr>
      <w:r>
        <w:rPr>
          <w:rFonts w:hint="eastAsia" w:ascii="仿宋" w:hAnsi="仿宋" w:eastAsia="仿宋" w:cs="仿宋"/>
          <w:spacing w:val="-17"/>
          <w:sz w:val="32"/>
          <w:szCs w:val="32"/>
          <w:highlight w:val="none"/>
        </w:rPr>
        <w:t>部门（单位）名称：</w:t>
      </w:r>
      <w:r>
        <w:rPr>
          <w:rFonts w:hint="eastAsia" w:ascii="仿宋" w:hAnsi="仿宋" w:eastAsia="仿宋" w:cs="仿宋"/>
          <w:sz w:val="32"/>
          <w:szCs w:val="32"/>
          <w:highlight w:val="none"/>
          <w:u w:val="single"/>
        </w:rPr>
        <w:t>（盖章）</w:t>
      </w:r>
    </w:p>
    <w:p>
      <w:pPr>
        <w:spacing w:line="60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年度中共岳阳市君山区委巡察工作领导小组办公室整体支出绩效自评报告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中共岳阳市君山区委巡察工作领导小组办公室</w:t>
      </w:r>
      <w:r>
        <w:rPr>
          <w:rFonts w:hint="eastAsia" w:ascii="方正仿宋_GB2312" w:hAnsi="方正仿宋_GB2312" w:eastAsia="方正仿宋_GB2312" w:cs="方正仿宋_GB2312"/>
          <w:color w:val="000000"/>
          <w:sz w:val="28"/>
          <w:szCs w:val="28"/>
          <w:lang w:eastAsia="zh-CN"/>
        </w:rPr>
        <w:t>（以下简称</w:t>
      </w:r>
      <w:r>
        <w:rPr>
          <w:rFonts w:hint="eastAsia" w:ascii="方正仿宋_GB2312" w:hAnsi="方正仿宋_GB2312" w:eastAsia="方正仿宋_GB2312" w:cs="方正仿宋_GB2312"/>
          <w:color w:val="000000"/>
          <w:sz w:val="28"/>
          <w:szCs w:val="28"/>
        </w:rPr>
        <w:t>区委巡察办</w:t>
      </w: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rPr>
        <w:t>是协助区委履行管党治党主体责任的党委工作机关，发挥统筹协调、指导督导、服务保障作用。</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主要职责包括：向区委巡察工作领导小组、市委巡察工作领导小组办公室报告巡察工作情况，传达贯彻中央、省委、市委、区委的决策和部署；统筹、协调、指导区委巡察组开展工作；制定巡察工作标准，规范巡察工作流程，完善巡察工作评价机制；承担调查研究、制度建设、督促整改、服务保障等工作；对巡察发现的普遍性、规律性问题进行综合、分析和研究，形成专题报告，为区委决策服务；对区委和区委巡察工作领导小组决定的事项及巡察移交事项进行督办；配合有关部门对巡察工作人员进行培训、考核、监督和管理；受理干部群众对巡察工作人员的举报和反映，提出处理意见；负责巡察信息处理和对外宣传公开工作；配合上级巡视和巡察组开展工作，承担巡视巡察的协调联络、服务保障、整改落实、信息处理等职责。</w:t>
      </w:r>
    </w:p>
    <w:p>
      <w:pPr>
        <w:pStyle w:val="11"/>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楷体_GB2312" w:cs="Times New Roman"/>
          <w:b/>
          <w:sz w:val="28"/>
          <w:szCs w:val="28"/>
          <w:highlight w:val="none"/>
          <w:lang w:eastAsia="zh-CN"/>
        </w:rPr>
      </w:pPr>
      <w:r>
        <w:rPr>
          <w:rFonts w:hint="eastAsia" w:ascii="Times New Roman" w:hAnsi="Times New Roman" w:eastAsia="楷体_GB2312" w:cs="Times New Roman"/>
          <w:b/>
          <w:sz w:val="28"/>
          <w:szCs w:val="28"/>
          <w:highlight w:val="none"/>
          <w:lang w:eastAsia="zh-CN"/>
        </w:rPr>
        <w:t>（二）机构设置与人员情况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区委巡察办设置4个内设机构，分别为综合股、巡察股、督办股、巡察信息中心。</w:t>
      </w:r>
      <w:r>
        <w:rPr>
          <w:rFonts w:hint="eastAsia" w:ascii="方正仿宋_GB2312" w:hAnsi="方正仿宋_GB2312" w:eastAsia="方正仿宋_GB2312" w:cs="方正仿宋_GB2312"/>
          <w:color w:val="000000"/>
          <w:sz w:val="28"/>
          <w:szCs w:val="28"/>
          <w:lang w:eastAsia="zh-CN"/>
        </w:rPr>
        <w:t>人员编制</w:t>
      </w:r>
      <w:r>
        <w:rPr>
          <w:rFonts w:hint="eastAsia" w:ascii="方正仿宋_GB2312" w:hAnsi="方正仿宋_GB2312" w:eastAsia="方正仿宋_GB2312" w:cs="方正仿宋_GB2312"/>
          <w:color w:val="000000"/>
          <w:sz w:val="28"/>
          <w:szCs w:val="28"/>
          <w:lang w:val="en-US" w:eastAsia="zh-CN"/>
        </w:rPr>
        <w:t>12个，实有人数11人。</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1"/>
        <w:keepNext w:val="0"/>
        <w:keepLines w:val="0"/>
        <w:pageBreakBefore w:val="0"/>
        <w:widowControl/>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（一）基本支出情况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auto"/>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u w:val="none"/>
          <w:lang w:val="en-US" w:eastAsia="zh-CN"/>
        </w:rPr>
        <w:t>2023年</w:t>
      </w:r>
      <w:r>
        <w:rPr>
          <w:rFonts w:hint="default" w:ascii="方正仿宋_GB2312" w:hAnsi="方正仿宋_GB2312" w:eastAsia="方正仿宋_GB2312" w:cs="方正仿宋_GB2312"/>
          <w:color w:val="auto"/>
          <w:sz w:val="28"/>
          <w:szCs w:val="28"/>
          <w:highlight w:val="none"/>
          <w:u w:val="none"/>
          <w:lang w:val="en-US" w:eastAsia="zh-CN"/>
        </w:rPr>
        <w:t>全年基本支出</w:t>
      </w:r>
      <w:r>
        <w:rPr>
          <w:rFonts w:hint="eastAsia" w:ascii="方正仿宋_GB2312" w:hAnsi="方正仿宋_GB2312" w:eastAsia="方正仿宋_GB2312" w:cs="方正仿宋_GB2312"/>
          <w:color w:val="auto"/>
          <w:sz w:val="28"/>
          <w:szCs w:val="28"/>
          <w:highlight w:val="none"/>
          <w:u w:val="none"/>
          <w:lang w:val="en-US" w:eastAsia="zh-CN"/>
        </w:rPr>
        <w:t>215.81</w:t>
      </w:r>
      <w:r>
        <w:rPr>
          <w:rFonts w:hint="default" w:ascii="方正仿宋_GB2312" w:hAnsi="方正仿宋_GB2312" w:eastAsia="方正仿宋_GB2312" w:cs="方正仿宋_GB2312"/>
          <w:color w:val="auto"/>
          <w:sz w:val="28"/>
          <w:szCs w:val="28"/>
          <w:highlight w:val="none"/>
          <w:u w:val="none"/>
          <w:lang w:val="en-US" w:eastAsia="zh-CN"/>
        </w:rPr>
        <w:t>万元，其中人员经费</w:t>
      </w:r>
      <w:r>
        <w:rPr>
          <w:rFonts w:hint="eastAsia" w:ascii="方正仿宋_GB2312" w:hAnsi="方正仿宋_GB2312" w:eastAsia="方正仿宋_GB2312" w:cs="方正仿宋_GB2312"/>
          <w:color w:val="auto"/>
          <w:sz w:val="28"/>
          <w:szCs w:val="28"/>
          <w:highlight w:val="none"/>
          <w:u w:val="none"/>
          <w:lang w:val="en-US" w:eastAsia="zh-CN"/>
        </w:rPr>
        <w:t>160.3</w:t>
      </w:r>
      <w:r>
        <w:rPr>
          <w:rFonts w:hint="default" w:ascii="方正仿宋_GB2312" w:hAnsi="方正仿宋_GB2312" w:eastAsia="方正仿宋_GB2312" w:cs="方正仿宋_GB2312"/>
          <w:color w:val="auto"/>
          <w:sz w:val="28"/>
          <w:szCs w:val="28"/>
          <w:highlight w:val="none"/>
          <w:u w:val="none"/>
          <w:lang w:val="en-US" w:eastAsia="zh-CN"/>
        </w:rPr>
        <w:t>万元，公用经费</w:t>
      </w:r>
      <w:r>
        <w:rPr>
          <w:rFonts w:hint="eastAsia" w:ascii="方正仿宋_GB2312" w:hAnsi="方正仿宋_GB2312" w:eastAsia="方正仿宋_GB2312" w:cs="方正仿宋_GB2312"/>
          <w:color w:val="auto"/>
          <w:sz w:val="28"/>
          <w:szCs w:val="28"/>
          <w:highlight w:val="none"/>
          <w:u w:val="none"/>
          <w:lang w:val="en-US" w:eastAsia="zh-CN"/>
        </w:rPr>
        <w:t>55.51</w:t>
      </w:r>
      <w:r>
        <w:rPr>
          <w:rFonts w:hint="default" w:ascii="方正仿宋_GB2312" w:hAnsi="方正仿宋_GB2312" w:eastAsia="方正仿宋_GB2312" w:cs="方正仿宋_GB2312"/>
          <w:color w:val="auto"/>
          <w:sz w:val="28"/>
          <w:szCs w:val="28"/>
          <w:highlight w:val="none"/>
          <w:u w:val="none"/>
          <w:lang w:val="en-US" w:eastAsia="zh-CN"/>
        </w:rPr>
        <w:t>万元。</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基本支出主要是指为保障单位机构正常运转、完成日常工作任务而发生的各项支出，包括用于基本工资、绩效工资、津贴补贴、社会保障缴费等人员经费，办公费、印刷费、差旅费、公务接待费、维修（护）费等日常公用经费。</w:t>
      </w:r>
    </w:p>
    <w:p>
      <w:pPr>
        <w:pStyle w:val="11"/>
        <w:keepNext w:val="0"/>
        <w:keepLines w:val="0"/>
        <w:pageBreakBefore w:val="0"/>
        <w:widowControl/>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（二）项目支出情况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2023年</w:t>
      </w:r>
      <w:r>
        <w:rPr>
          <w:rFonts w:hint="default" w:ascii="方正仿宋_GB2312" w:hAnsi="方正仿宋_GB2312" w:eastAsia="方正仿宋_GB2312" w:cs="方正仿宋_GB2312"/>
          <w:color w:val="000000"/>
          <w:sz w:val="28"/>
          <w:szCs w:val="28"/>
          <w:lang w:val="en-US" w:eastAsia="zh-CN"/>
        </w:rPr>
        <w:t>全年</w:t>
      </w:r>
      <w:r>
        <w:rPr>
          <w:rFonts w:hint="eastAsia" w:ascii="方正仿宋_GB2312" w:hAnsi="方正仿宋_GB2312" w:eastAsia="方正仿宋_GB2312" w:cs="方正仿宋_GB2312"/>
          <w:color w:val="000000"/>
          <w:sz w:val="28"/>
          <w:szCs w:val="28"/>
          <w:lang w:val="en-US" w:eastAsia="zh-CN"/>
        </w:rPr>
        <w:t>项目支出60.89</w:t>
      </w:r>
      <w:r>
        <w:rPr>
          <w:rFonts w:hint="default" w:ascii="方正仿宋_GB2312" w:hAnsi="方正仿宋_GB2312" w:eastAsia="方正仿宋_GB2312" w:cs="方正仿宋_GB2312"/>
          <w:color w:val="auto"/>
          <w:sz w:val="28"/>
          <w:szCs w:val="28"/>
          <w:lang w:val="en-US" w:eastAsia="zh-CN"/>
        </w:rPr>
        <w:t>万元</w:t>
      </w:r>
      <w:r>
        <w:rPr>
          <w:rFonts w:hint="eastAsia" w:ascii="方正仿宋_GB2312" w:hAnsi="方正仿宋_GB2312" w:eastAsia="方正仿宋_GB2312" w:cs="方正仿宋_GB2312"/>
          <w:color w:val="000000"/>
          <w:sz w:val="28"/>
          <w:szCs w:val="28"/>
          <w:lang w:val="en-US" w:eastAsia="zh-CN"/>
        </w:rPr>
        <w:t>，主要是本部门为完成巡察工作任务而发生的其他运转类支出，包括办公费、印刷费、维修费、培训费、会议费、其他交通费等。</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无此项支出。</w:t>
      </w:r>
    </w:p>
    <w:p>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无此项支出。</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无此项支出。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default" w:ascii="方正仿宋_GB2312" w:hAnsi="方正仿宋_GB2312" w:eastAsia="方正仿宋_GB2312" w:cs="方正仿宋_GB2312"/>
          <w:color w:val="000000"/>
          <w:sz w:val="28"/>
          <w:szCs w:val="28"/>
          <w:lang w:val="en-US" w:eastAsia="zh-CN"/>
        </w:rPr>
        <w:t>202</w:t>
      </w:r>
      <w:r>
        <w:rPr>
          <w:rFonts w:hint="eastAsia" w:ascii="方正仿宋_GB2312" w:hAnsi="方正仿宋_GB2312" w:eastAsia="方正仿宋_GB2312" w:cs="方正仿宋_GB2312"/>
          <w:color w:val="000000"/>
          <w:sz w:val="28"/>
          <w:szCs w:val="28"/>
          <w:lang w:val="en-US" w:eastAsia="zh-CN"/>
        </w:rPr>
        <w:t>3</w:t>
      </w:r>
      <w:r>
        <w:rPr>
          <w:rFonts w:hint="default" w:ascii="方正仿宋_GB2312" w:hAnsi="方正仿宋_GB2312" w:eastAsia="方正仿宋_GB2312" w:cs="方正仿宋_GB2312"/>
          <w:color w:val="000000"/>
          <w:sz w:val="28"/>
          <w:szCs w:val="28"/>
          <w:lang w:val="en-US" w:eastAsia="zh-CN"/>
        </w:rPr>
        <w:t>年</w:t>
      </w:r>
      <w:r>
        <w:rPr>
          <w:rFonts w:hint="eastAsia" w:ascii="方正仿宋_GB2312" w:hAnsi="方正仿宋_GB2312" w:eastAsia="方正仿宋_GB2312" w:cs="方正仿宋_GB2312"/>
          <w:color w:val="000000"/>
          <w:sz w:val="28"/>
          <w:szCs w:val="28"/>
          <w:lang w:val="en-US" w:eastAsia="zh-CN"/>
        </w:rPr>
        <w:t>，区委巡察办严格执行</w:t>
      </w:r>
      <w:r>
        <w:rPr>
          <w:rFonts w:hint="default" w:ascii="方正仿宋_GB2312" w:hAnsi="方正仿宋_GB2312" w:eastAsia="方正仿宋_GB2312" w:cs="方正仿宋_GB2312"/>
          <w:color w:val="000000"/>
          <w:sz w:val="28"/>
          <w:szCs w:val="28"/>
          <w:lang w:val="en-US" w:eastAsia="zh-CN"/>
        </w:rPr>
        <w:t>财务管理规范，</w:t>
      </w:r>
      <w:r>
        <w:rPr>
          <w:rFonts w:hint="eastAsia" w:ascii="方正仿宋_GB2312" w:hAnsi="方正仿宋_GB2312" w:eastAsia="方正仿宋_GB2312" w:cs="方正仿宋_GB2312"/>
          <w:color w:val="000000"/>
          <w:sz w:val="28"/>
          <w:szCs w:val="28"/>
          <w:lang w:val="en-US" w:eastAsia="zh-CN"/>
        </w:rPr>
        <w:t>认真履行</w:t>
      </w:r>
      <w:r>
        <w:rPr>
          <w:rFonts w:hint="default" w:ascii="方正仿宋_GB2312" w:hAnsi="方正仿宋_GB2312" w:eastAsia="方正仿宋_GB2312" w:cs="方正仿宋_GB2312"/>
          <w:color w:val="000000"/>
          <w:sz w:val="28"/>
          <w:szCs w:val="28"/>
          <w:lang w:val="en-US" w:eastAsia="zh-CN"/>
        </w:rPr>
        <w:t>各项工作</w:t>
      </w:r>
      <w:r>
        <w:rPr>
          <w:rFonts w:hint="eastAsia" w:ascii="方正仿宋_GB2312" w:hAnsi="方正仿宋_GB2312" w:eastAsia="方正仿宋_GB2312" w:cs="方正仿宋_GB2312"/>
          <w:color w:val="000000"/>
          <w:sz w:val="28"/>
          <w:szCs w:val="28"/>
          <w:lang w:val="en-US" w:eastAsia="zh-CN"/>
        </w:rPr>
        <w:t>职责</w:t>
      </w:r>
      <w:r>
        <w:rPr>
          <w:rFonts w:hint="default" w:ascii="方正仿宋_GB2312" w:hAnsi="方正仿宋_GB2312" w:eastAsia="方正仿宋_GB2312" w:cs="方正仿宋_GB2312"/>
          <w:color w:val="000000"/>
          <w:sz w:val="28"/>
          <w:szCs w:val="28"/>
          <w:lang w:val="en-US" w:eastAsia="zh-CN"/>
        </w:rPr>
        <w:t>，单位行政运行稳定有序</w:t>
      </w:r>
      <w:r>
        <w:rPr>
          <w:rFonts w:hint="eastAsia" w:ascii="方正仿宋_GB2312" w:hAnsi="方正仿宋_GB2312" w:eastAsia="方正仿宋_GB2312" w:cs="方正仿宋_GB2312"/>
          <w:color w:val="000000"/>
          <w:sz w:val="28"/>
          <w:szCs w:val="28"/>
          <w:lang w:val="en-US" w:eastAsia="zh-CN"/>
        </w:rPr>
        <w:t>，部门整体支出绩效自评得分99分。</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（一）部门整体支出情况分析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本年整体支出总计为276.7万元。其中基本支出215.81万元，占本年整体支出的77.99 %，人员经费支出160.3万元，占基本支出的74.28%，公用经费支出55.51万元，占基本支出的25.72%；项目支出60.89万元，占本年整体支出的22.01 %。</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default"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（二）预算财务管理情况分析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default" w:ascii="方正仿宋_GB2312" w:hAnsi="方正仿宋_GB2312" w:eastAsia="方正仿宋_GB2312" w:cs="方正仿宋_GB2312"/>
          <w:color w:val="000000"/>
          <w:sz w:val="28"/>
          <w:szCs w:val="28"/>
          <w:lang w:val="en-US" w:eastAsia="zh-CN"/>
        </w:rPr>
        <w:t>202</w:t>
      </w:r>
      <w:r>
        <w:rPr>
          <w:rFonts w:hint="eastAsia" w:ascii="方正仿宋_GB2312" w:hAnsi="方正仿宋_GB2312" w:eastAsia="方正仿宋_GB2312" w:cs="方正仿宋_GB2312"/>
          <w:color w:val="000000"/>
          <w:sz w:val="28"/>
          <w:szCs w:val="28"/>
          <w:lang w:val="en-US" w:eastAsia="zh-CN"/>
        </w:rPr>
        <w:t>3</w:t>
      </w:r>
      <w:r>
        <w:rPr>
          <w:rFonts w:hint="default" w:ascii="方正仿宋_GB2312" w:hAnsi="方正仿宋_GB2312" w:eastAsia="方正仿宋_GB2312" w:cs="方正仿宋_GB2312"/>
          <w:color w:val="000000"/>
          <w:sz w:val="28"/>
          <w:szCs w:val="28"/>
          <w:lang w:val="en-US" w:eastAsia="zh-CN"/>
        </w:rPr>
        <w:t>年</w:t>
      </w:r>
      <w:r>
        <w:rPr>
          <w:rFonts w:hint="eastAsia" w:ascii="方正仿宋_GB2312" w:hAnsi="方正仿宋_GB2312" w:eastAsia="方正仿宋_GB2312" w:cs="方正仿宋_GB2312"/>
          <w:color w:val="000000"/>
          <w:sz w:val="28"/>
          <w:szCs w:val="28"/>
          <w:lang w:val="en-US" w:eastAsia="zh-CN"/>
        </w:rPr>
        <w:t>，区委巡察办</w:t>
      </w:r>
      <w:r>
        <w:rPr>
          <w:rFonts w:hint="default" w:ascii="方正仿宋_GB2312" w:hAnsi="方正仿宋_GB2312" w:eastAsia="方正仿宋_GB2312" w:cs="方正仿宋_GB2312"/>
          <w:color w:val="000000"/>
          <w:sz w:val="28"/>
          <w:szCs w:val="28"/>
          <w:lang w:val="en-US" w:eastAsia="zh-CN"/>
        </w:rPr>
        <w:t>严格遵守</w:t>
      </w:r>
      <w:r>
        <w:rPr>
          <w:rFonts w:hint="eastAsia" w:ascii="方正仿宋_GB2312" w:hAnsi="方正仿宋_GB2312" w:eastAsia="方正仿宋_GB2312" w:cs="方正仿宋_GB2312"/>
          <w:color w:val="000000"/>
          <w:sz w:val="28"/>
          <w:szCs w:val="28"/>
          <w:lang w:val="en-US" w:eastAsia="zh-CN"/>
        </w:rPr>
        <w:t>财务管理</w:t>
      </w:r>
      <w:r>
        <w:rPr>
          <w:rFonts w:hint="default" w:ascii="方正仿宋_GB2312" w:hAnsi="方正仿宋_GB2312" w:eastAsia="方正仿宋_GB2312" w:cs="方正仿宋_GB2312"/>
          <w:color w:val="000000"/>
          <w:sz w:val="28"/>
          <w:szCs w:val="28"/>
          <w:lang w:val="en-US" w:eastAsia="zh-CN"/>
        </w:rPr>
        <w:t>制度，</w:t>
      </w:r>
      <w:r>
        <w:rPr>
          <w:rFonts w:hint="eastAsia" w:ascii="方正仿宋_GB2312" w:hAnsi="方正仿宋_GB2312" w:eastAsia="方正仿宋_GB2312" w:cs="方正仿宋_GB2312"/>
          <w:color w:val="000000"/>
          <w:sz w:val="28"/>
          <w:szCs w:val="28"/>
          <w:lang w:val="en-US" w:eastAsia="zh-CN"/>
        </w:rPr>
        <w:t>科学、合理编制预算，认真履行费用报销程序，切实</w:t>
      </w:r>
      <w:r>
        <w:rPr>
          <w:rFonts w:hint="default" w:ascii="方正仿宋_GB2312" w:hAnsi="方正仿宋_GB2312" w:eastAsia="方正仿宋_GB2312" w:cs="方正仿宋_GB2312"/>
          <w:color w:val="000000"/>
          <w:sz w:val="28"/>
          <w:szCs w:val="28"/>
          <w:lang w:val="en-US" w:eastAsia="zh-CN"/>
        </w:rPr>
        <w:t>加强经费支出的监督管理</w:t>
      </w:r>
      <w:r>
        <w:rPr>
          <w:rFonts w:hint="eastAsia" w:ascii="方正仿宋_GB2312" w:hAnsi="方正仿宋_GB2312" w:eastAsia="方正仿宋_GB2312" w:cs="方正仿宋_GB2312"/>
          <w:color w:val="000000"/>
          <w:sz w:val="28"/>
          <w:szCs w:val="28"/>
          <w:lang w:val="en-US" w:eastAsia="zh-CN"/>
        </w:rPr>
        <w:t>，</w:t>
      </w:r>
      <w:r>
        <w:rPr>
          <w:rFonts w:hint="default" w:ascii="方正仿宋_GB2312" w:hAnsi="方正仿宋_GB2312" w:eastAsia="方正仿宋_GB2312" w:cs="方正仿宋_GB2312"/>
          <w:color w:val="000000"/>
          <w:sz w:val="28"/>
          <w:szCs w:val="28"/>
          <w:lang w:val="en-US" w:eastAsia="zh-CN"/>
        </w:rPr>
        <w:t>重大财务事项经由集体研究决策</w:t>
      </w:r>
      <w:r>
        <w:rPr>
          <w:rFonts w:hint="eastAsia" w:ascii="方正仿宋_GB2312" w:hAnsi="方正仿宋_GB2312" w:eastAsia="方正仿宋_GB2312" w:cs="方正仿宋_GB2312"/>
          <w:color w:val="000000"/>
          <w:sz w:val="28"/>
          <w:szCs w:val="28"/>
          <w:lang w:val="en-US" w:eastAsia="zh-CN"/>
        </w:rPr>
        <w:t>，</w:t>
      </w:r>
      <w:r>
        <w:rPr>
          <w:rFonts w:hint="default" w:ascii="方正仿宋_GB2312" w:hAnsi="方正仿宋_GB2312" w:eastAsia="方正仿宋_GB2312" w:cs="方正仿宋_GB2312"/>
          <w:color w:val="000000"/>
          <w:sz w:val="28"/>
          <w:szCs w:val="28"/>
          <w:lang w:val="en-US" w:eastAsia="zh-CN"/>
        </w:rPr>
        <w:t>资金使用没有截留、挪用、虚列支出、随意借用等情况。部门预决算信息按规定内容，在规定的时限内予以公开。基础数据信息和会计信息资料真实、完整、准确。</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（三）固定资产管理情况分析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本单位对固定资产实行统一管理，2023年末固定资产合计9.78万元，全为在用固定资产。</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default"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（四）履职产出效益方面</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default" w:ascii="方正仿宋_GB2312" w:hAnsi="方正仿宋_GB2312" w:eastAsia="方正仿宋_GB2312" w:cs="方正仿宋_GB2312"/>
          <w:color w:val="000000"/>
          <w:sz w:val="28"/>
          <w:szCs w:val="28"/>
          <w:lang w:val="en-US" w:eastAsia="zh-CN"/>
        </w:rPr>
        <w:t>202</w:t>
      </w:r>
      <w:r>
        <w:rPr>
          <w:rFonts w:hint="eastAsia" w:ascii="方正仿宋_GB2312" w:hAnsi="方正仿宋_GB2312" w:eastAsia="方正仿宋_GB2312" w:cs="方正仿宋_GB2312"/>
          <w:color w:val="000000"/>
          <w:sz w:val="28"/>
          <w:szCs w:val="28"/>
          <w:lang w:val="en-US" w:eastAsia="zh-CN"/>
        </w:rPr>
        <w:t>3</w:t>
      </w:r>
      <w:r>
        <w:rPr>
          <w:rFonts w:hint="default" w:ascii="方正仿宋_GB2312" w:hAnsi="方正仿宋_GB2312" w:eastAsia="方正仿宋_GB2312" w:cs="方正仿宋_GB2312"/>
          <w:color w:val="000000"/>
          <w:sz w:val="28"/>
          <w:szCs w:val="28"/>
          <w:lang w:val="en-US" w:eastAsia="zh-CN"/>
        </w:rPr>
        <w:t>年</w:t>
      </w:r>
      <w:r>
        <w:rPr>
          <w:rFonts w:hint="eastAsia" w:ascii="方正仿宋_GB2312" w:hAnsi="方正仿宋_GB2312" w:eastAsia="方正仿宋_GB2312" w:cs="方正仿宋_GB2312"/>
          <w:color w:val="000000"/>
          <w:sz w:val="28"/>
          <w:szCs w:val="28"/>
          <w:lang w:val="en-US" w:eastAsia="zh-CN"/>
        </w:rPr>
        <w:t>，区委巡察办</w:t>
      </w:r>
      <w:r>
        <w:rPr>
          <w:rFonts w:hint="default" w:ascii="方正仿宋_GB2312" w:hAnsi="方正仿宋_GB2312" w:eastAsia="方正仿宋_GB2312" w:cs="方正仿宋_GB2312"/>
          <w:color w:val="000000"/>
          <w:sz w:val="28"/>
          <w:szCs w:val="28"/>
          <w:lang w:val="en-US" w:eastAsia="zh-CN"/>
        </w:rPr>
        <w:t>认真履行</w:t>
      </w:r>
      <w:r>
        <w:rPr>
          <w:rFonts w:hint="eastAsia" w:ascii="方正仿宋_GB2312" w:hAnsi="方正仿宋_GB2312" w:eastAsia="方正仿宋_GB2312" w:cs="方正仿宋_GB2312"/>
          <w:color w:val="000000"/>
          <w:sz w:val="28"/>
          <w:szCs w:val="28"/>
          <w:lang w:val="en-US" w:eastAsia="zh-CN"/>
        </w:rPr>
        <w:t>部门职责</w:t>
      </w:r>
      <w:r>
        <w:rPr>
          <w:rFonts w:hint="default" w:ascii="方正仿宋_GB2312" w:hAnsi="方正仿宋_GB2312" w:eastAsia="方正仿宋_GB2312" w:cs="方正仿宋_GB2312"/>
          <w:color w:val="000000"/>
          <w:sz w:val="28"/>
          <w:szCs w:val="28"/>
          <w:lang w:val="en-US" w:eastAsia="zh-CN"/>
        </w:rPr>
        <w:t>，</w:t>
      </w:r>
      <w:r>
        <w:rPr>
          <w:rFonts w:hint="eastAsia" w:ascii="方正仿宋_GB2312" w:hAnsi="方正仿宋_GB2312" w:eastAsia="方正仿宋_GB2312" w:cs="方正仿宋_GB2312"/>
          <w:color w:val="000000"/>
          <w:sz w:val="28"/>
          <w:szCs w:val="28"/>
          <w:lang w:val="en-US" w:eastAsia="zh-CN"/>
        </w:rPr>
        <w:t>履职情况如下：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找准工作定位，推动“同责共抓”。协助领导小组组长带队开展巡察中期调研4次，深入一线，与巡察组干部交流。组织召开领导小组会议4次。主动加强与市委巡察办的对接汇报，及早了解市级巡察工作重点方向，统筹安排好本级巡察时间、对象和力量。及时与相关职能部门对接协调，与巡察组同频共振、同向发力。</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坚守政治立场，深化政治巡察。2023年共组织开展3轮常规巡察、1轮专项巡察，发现一般性问题326个、问题线索58条，推动立行立改问题31个。其中，采取“巡镇带村”“巡单位带村”等方式，完成对柳林洲街道、良心堡镇27个村（社区）党组织巡察。配合市委开展园区专项交叉巡察。</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压实整改责任，做好“后半篇”文章。完成第二轮、第三轮巡察和违规举债和虚假化债专项巡察、招投标领域专项巡察反馈问题整改评估。积极配合区委落实省委“未巡先改”、省委第七巡视组巡视岳阳反馈意见整改。发出巡察建议书8份，提出各类意见建议20条，推动健全完善制度5个。</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4.健全体制机制，提升规范化水平。协助领导小组出台了巡察机构与7个部门的协作配合机制，推动贯通融合。扎实推进巡视巡察信息管理不规范专项整治。推动出台巡察人才库建设和管理办法、“三优”评选办法，组建185人的巡察工作人才库，评选、表彰5名优秀巡察干部，逐步破解巡察人员“抽调难”。</w:t>
      </w:r>
    </w:p>
    <w:p>
      <w:pPr>
        <w:pStyle w:val="11"/>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（一）存在的主要问题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w:t>
      </w:r>
      <w:r>
        <w:rPr>
          <w:rFonts w:hint="default" w:ascii="方正仿宋_GB2312" w:hAnsi="方正仿宋_GB2312" w:eastAsia="方正仿宋_GB2312" w:cs="方正仿宋_GB2312"/>
          <w:color w:val="000000"/>
          <w:sz w:val="28"/>
          <w:szCs w:val="28"/>
          <w:lang w:val="en-US" w:eastAsia="zh-CN"/>
        </w:rPr>
        <w:t>预算绩效管理的合理性、科学性还需加强。</w:t>
      </w:r>
      <w:r>
        <w:rPr>
          <w:rFonts w:hint="eastAsia" w:ascii="方正仿宋_GB2312" w:hAnsi="方正仿宋_GB2312" w:eastAsia="方正仿宋_GB2312" w:cs="方正仿宋_GB2312"/>
          <w:color w:val="000000"/>
          <w:sz w:val="28"/>
          <w:szCs w:val="28"/>
          <w:lang w:val="en-US" w:eastAsia="zh-CN"/>
        </w:rPr>
        <w:t>预算执行存在偏差。年初预算与实际支出存在差异，在预算执行中，存在预算子项调剂现象。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2.对预算</w:t>
      </w:r>
      <w:r>
        <w:rPr>
          <w:rFonts w:hint="default" w:ascii="方正仿宋_GB2312" w:hAnsi="方正仿宋_GB2312" w:eastAsia="方正仿宋_GB2312" w:cs="方正仿宋_GB2312"/>
          <w:color w:val="000000"/>
          <w:sz w:val="28"/>
          <w:szCs w:val="28"/>
          <w:lang w:val="en-US" w:eastAsia="zh-CN"/>
        </w:rPr>
        <w:t>绩效评价</w:t>
      </w:r>
      <w:r>
        <w:rPr>
          <w:rFonts w:hint="eastAsia" w:ascii="方正仿宋_GB2312" w:hAnsi="方正仿宋_GB2312" w:eastAsia="方正仿宋_GB2312" w:cs="方正仿宋_GB2312"/>
          <w:color w:val="000000"/>
          <w:sz w:val="28"/>
          <w:szCs w:val="28"/>
          <w:lang w:val="en-US" w:eastAsia="zh-CN"/>
        </w:rPr>
        <w:t>指标的分析不够全面。</w:t>
      </w:r>
      <w:r>
        <w:rPr>
          <w:rFonts w:hint="default" w:ascii="方正仿宋_GB2312" w:hAnsi="方正仿宋_GB2312" w:eastAsia="方正仿宋_GB2312" w:cs="方正仿宋_GB2312"/>
          <w:color w:val="000000"/>
          <w:sz w:val="28"/>
          <w:szCs w:val="28"/>
          <w:lang w:val="en-US" w:eastAsia="zh-CN"/>
        </w:rPr>
        <w:t>在各项指标的分析上也未能做到透彻，对各项资金使用的规范性和使用结果的有效性分析</w:t>
      </w:r>
      <w:r>
        <w:rPr>
          <w:rFonts w:hint="eastAsia" w:ascii="方正仿宋_GB2312" w:hAnsi="方正仿宋_GB2312" w:eastAsia="方正仿宋_GB2312" w:cs="方正仿宋_GB2312"/>
          <w:color w:val="000000"/>
          <w:sz w:val="28"/>
          <w:szCs w:val="28"/>
          <w:lang w:val="en-US" w:eastAsia="zh-CN"/>
        </w:rPr>
        <w:t>有不足。</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（二）原因分析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w:t>
      </w:r>
      <w:r>
        <w:rPr>
          <w:rFonts w:hint="default" w:ascii="方正仿宋_GB2312" w:hAnsi="方正仿宋_GB2312" w:eastAsia="方正仿宋_GB2312" w:cs="方正仿宋_GB2312"/>
          <w:color w:val="000000"/>
          <w:sz w:val="28"/>
          <w:szCs w:val="28"/>
          <w:lang w:val="en-US" w:eastAsia="zh-CN"/>
        </w:rPr>
        <w:t>对预算绩效管理知识的学习存在局限性</w:t>
      </w:r>
      <w:r>
        <w:rPr>
          <w:rFonts w:hint="eastAsia" w:ascii="方正仿宋_GB2312" w:hAnsi="方正仿宋_GB2312" w:eastAsia="方正仿宋_GB2312" w:cs="方正仿宋_GB2312"/>
          <w:color w:val="000000"/>
          <w:sz w:val="28"/>
          <w:szCs w:val="28"/>
          <w:lang w:val="en-US" w:eastAsia="zh-CN"/>
        </w:rPr>
        <w:t>，</w:t>
      </w:r>
      <w:r>
        <w:rPr>
          <w:rFonts w:hint="default" w:ascii="方正仿宋_GB2312" w:hAnsi="方正仿宋_GB2312" w:eastAsia="方正仿宋_GB2312" w:cs="方正仿宋_GB2312"/>
          <w:color w:val="000000"/>
          <w:sz w:val="28"/>
          <w:szCs w:val="28"/>
          <w:lang w:val="en-US" w:eastAsia="zh-CN"/>
        </w:rPr>
        <w:t>预算绩效管理的合理性、科学性还需加强。</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2.相关人员专业水平有待进一步提升。</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w:t>
      </w:r>
      <w:r>
        <w:rPr>
          <w:rFonts w:hint="default" w:ascii="方正仿宋_GB2312" w:hAnsi="方正仿宋_GB2312" w:eastAsia="方正仿宋_GB2312" w:cs="方正仿宋_GB2312"/>
          <w:color w:val="000000"/>
          <w:sz w:val="28"/>
          <w:szCs w:val="28"/>
          <w:lang w:val="en-US" w:eastAsia="zh-CN"/>
        </w:rPr>
        <w:t>细化预算编制工作，严格按照预算编制的相关制度和要求进行预算编制。</w:t>
      </w:r>
      <w:r>
        <w:rPr>
          <w:rFonts w:hint="eastAsia" w:ascii="方正仿宋_GB2312" w:hAnsi="方正仿宋_GB2312" w:eastAsia="方正仿宋_GB2312" w:cs="方正仿宋_GB2312"/>
          <w:color w:val="000000"/>
          <w:sz w:val="28"/>
          <w:szCs w:val="28"/>
          <w:lang w:val="en-US" w:eastAsia="zh-CN"/>
        </w:rPr>
        <w:t>严格执行预算，对于确需调剂预算的支出，按照规定程序，报区财政局审批，经批准后予以调剂。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2.加强对部门预算管理操作</w:t>
      </w:r>
      <w:r>
        <w:rPr>
          <w:rFonts w:hint="default" w:ascii="方正仿宋_GB2312" w:hAnsi="方正仿宋_GB2312" w:eastAsia="方正仿宋_GB2312" w:cs="方正仿宋_GB2312"/>
          <w:color w:val="000000"/>
          <w:sz w:val="28"/>
          <w:szCs w:val="28"/>
          <w:lang w:val="en-US" w:eastAsia="zh-CN"/>
        </w:rPr>
        <w:t>人员</w:t>
      </w:r>
      <w:r>
        <w:rPr>
          <w:rFonts w:hint="eastAsia" w:ascii="方正仿宋_GB2312" w:hAnsi="方正仿宋_GB2312" w:eastAsia="方正仿宋_GB2312" w:cs="方正仿宋_GB2312"/>
          <w:color w:val="000000"/>
          <w:sz w:val="28"/>
          <w:szCs w:val="28"/>
          <w:lang w:val="en-US" w:eastAsia="zh-CN"/>
        </w:rPr>
        <w:t>的</w:t>
      </w:r>
      <w:r>
        <w:rPr>
          <w:rFonts w:hint="default" w:ascii="方正仿宋_GB2312" w:hAnsi="方正仿宋_GB2312" w:eastAsia="方正仿宋_GB2312" w:cs="方正仿宋_GB2312"/>
          <w:color w:val="000000"/>
          <w:sz w:val="28"/>
          <w:szCs w:val="28"/>
          <w:lang w:val="en-US" w:eastAsia="zh-CN"/>
        </w:rPr>
        <w:t>培训，提高部门预算收支管理水平</w:t>
      </w:r>
      <w:r>
        <w:rPr>
          <w:rFonts w:hint="eastAsia" w:ascii="方正仿宋_GB2312" w:hAnsi="方正仿宋_GB2312" w:eastAsia="方正仿宋_GB2312" w:cs="方正仿宋_GB2312"/>
          <w:color w:val="000000"/>
          <w:sz w:val="28"/>
          <w:szCs w:val="28"/>
          <w:lang w:val="en-US" w:eastAsia="zh-CN"/>
        </w:rPr>
        <w:t>，</w:t>
      </w:r>
      <w:r>
        <w:rPr>
          <w:rFonts w:hint="default" w:ascii="方正仿宋_GB2312" w:hAnsi="方正仿宋_GB2312" w:eastAsia="方正仿宋_GB2312" w:cs="方正仿宋_GB2312"/>
          <w:color w:val="000000"/>
          <w:sz w:val="28"/>
          <w:szCs w:val="28"/>
          <w:lang w:val="en-US" w:eastAsia="zh-CN"/>
        </w:rPr>
        <w:t>提高人员的业务素质与参与</w:t>
      </w:r>
      <w:r>
        <w:rPr>
          <w:rFonts w:hint="eastAsia" w:ascii="方正仿宋_GB2312" w:hAnsi="方正仿宋_GB2312" w:eastAsia="方正仿宋_GB2312" w:cs="方正仿宋_GB2312"/>
          <w:color w:val="000000"/>
          <w:sz w:val="28"/>
          <w:szCs w:val="28"/>
          <w:lang w:val="en-US" w:eastAsia="zh-CN"/>
        </w:rPr>
        <w:t>预算管理的积极性。</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w:t>
      </w:r>
      <w:r>
        <w:rPr>
          <w:rFonts w:hint="default" w:ascii="方正仿宋_GB2312" w:hAnsi="方正仿宋_GB2312" w:eastAsia="方正仿宋_GB2312" w:cs="方正仿宋_GB2312"/>
          <w:color w:val="000000"/>
          <w:sz w:val="28"/>
          <w:szCs w:val="28"/>
          <w:lang w:val="en-US" w:eastAsia="zh-CN"/>
        </w:rPr>
        <w:t>完善内部控制体系建设。针对检查和评价过程中发现的问题和相关财经法律法规的变化，对相关制度、措施和程序进行调整、改进内部控制管理办法。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1.对照绩效自评结果，总结经验，发现问题，提出改进的方向和具体措施，促进工作的开展。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无。</w:t>
      </w:r>
    </w:p>
    <w:p>
      <w:pPr>
        <w:pStyle w:val="7"/>
        <w:rPr>
          <w:rFonts w:hint="eastAsia" w:ascii="Times New Roman" w:hAnsi="Times New Roman" w:eastAsia="仿宋_GB2312" w:cs="Times New Roman"/>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B9B5DD-B6F1-413E-8DAA-3344EEAC8D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60B1AB1C-4F4D-45E7-BF56-B2A1F4679379}"/>
  </w:font>
  <w:font w:name="仿宋_GB2312">
    <w:panose1 w:val="02010609030101010101"/>
    <w:charset w:val="86"/>
    <w:family w:val="modern"/>
    <w:pitch w:val="default"/>
    <w:sig w:usb0="00000001" w:usb1="080E0000" w:usb2="00000000" w:usb3="00000000" w:csb0="00040000" w:csb1="00000000"/>
    <w:embedRegular r:id="rId3" w:fontKey="{D97C60D5-4A92-4EA5-9277-0EA6BB7112A4}"/>
  </w:font>
  <w:font w:name="方正小标宋简体">
    <w:panose1 w:val="02000000000000000000"/>
    <w:charset w:val="86"/>
    <w:family w:val="auto"/>
    <w:pitch w:val="default"/>
    <w:sig w:usb0="00000001" w:usb1="08000000" w:usb2="00000000" w:usb3="00000000" w:csb0="00040000" w:csb1="00000000"/>
    <w:embedRegular r:id="rId4" w:fontKey="{7808CD51-346F-42A2-A658-2F2678468142}"/>
  </w:font>
  <w:font w:name="方正小标宋_GBK">
    <w:altName w:val="微软雅黑"/>
    <w:panose1 w:val="02000000000000000000"/>
    <w:charset w:val="86"/>
    <w:family w:val="script"/>
    <w:pitch w:val="default"/>
    <w:sig w:usb0="00000000" w:usb1="00000000" w:usb2="00000000" w:usb3="00000000" w:csb0="00040000" w:csb1="00000000"/>
    <w:embedRegular r:id="rId5" w:fontKey="{26ACCF3A-D888-4B3D-8D2D-8F32EF0706FF}"/>
  </w:font>
  <w:font w:name="楷体_GB2312">
    <w:altName w:val="楷体"/>
    <w:panose1 w:val="02010609030101010101"/>
    <w:charset w:val="86"/>
    <w:family w:val="modern"/>
    <w:pitch w:val="default"/>
    <w:sig w:usb0="00000000" w:usb1="00000000" w:usb2="00000000" w:usb3="00000000" w:csb0="00040000" w:csb1="00000000"/>
    <w:embedRegular r:id="rId6" w:fontKey="{682E93FB-3E40-42A9-9FEB-A1D3067A95EE}"/>
  </w:font>
  <w:font w:name="方正仿宋_GB2312">
    <w:panose1 w:val="02000000000000000000"/>
    <w:charset w:val="86"/>
    <w:family w:val="auto"/>
    <w:pitch w:val="default"/>
    <w:sig w:usb0="A00002BF" w:usb1="184F6CFA" w:usb2="00000012" w:usb3="00000000" w:csb0="00040001" w:csb1="00000000"/>
    <w:embedRegular r:id="rId7" w:fontKey="{37D95FD8-2E9B-4094-9D43-232B6457DF9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B23F9"/>
    <w:multiLevelType w:val="singleLevel"/>
    <w:tmpl w:val="CA3B23F9"/>
    <w:lvl w:ilvl="0" w:tentative="0">
      <w:start w:val="8"/>
      <w:numFmt w:val="chineseCounting"/>
      <w:suff w:val="nothing"/>
      <w:lvlText w:val="%1、"/>
      <w:lvlJc w:val="left"/>
      <w:rPr>
        <w:rFonts w:hint="eastAsia"/>
      </w:rPr>
    </w:lvl>
  </w:abstractNum>
  <w:abstractNum w:abstractNumId="1">
    <w:nsid w:val="1E965528"/>
    <w:multiLevelType w:val="singleLevel"/>
    <w:tmpl w:val="1E965528"/>
    <w:lvl w:ilvl="0" w:tentative="0">
      <w:start w:val="1"/>
      <w:numFmt w:val="chineseCounting"/>
      <w:suff w:val="nothing"/>
      <w:lvlText w:val="%1、"/>
      <w:lvlJc w:val="left"/>
      <w:rPr>
        <w:rFonts w:hint="eastAsia"/>
      </w:rPr>
    </w:lvl>
  </w:abstractNum>
  <w:abstractNum w:abstractNumId="2">
    <w:nsid w:val="20C8FF69"/>
    <w:multiLevelType w:val="singleLevel"/>
    <w:tmpl w:val="20C8FF69"/>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jFlM2Q0NzY0NDA1MTMyMjUxYzhmNTQxOTc5NzQifQ=="/>
  </w:docVars>
  <w:rsids>
    <w:rsidRoot w:val="59886344"/>
    <w:rsid w:val="011E3D92"/>
    <w:rsid w:val="033F5AB5"/>
    <w:rsid w:val="054A01CA"/>
    <w:rsid w:val="067B71CC"/>
    <w:rsid w:val="09067F2D"/>
    <w:rsid w:val="09385FBC"/>
    <w:rsid w:val="0A546A76"/>
    <w:rsid w:val="0AD81455"/>
    <w:rsid w:val="0AD95698"/>
    <w:rsid w:val="12117034"/>
    <w:rsid w:val="130F3E82"/>
    <w:rsid w:val="1A073B05"/>
    <w:rsid w:val="1AD729B2"/>
    <w:rsid w:val="1D954F84"/>
    <w:rsid w:val="1EFC3774"/>
    <w:rsid w:val="24EA2059"/>
    <w:rsid w:val="25016541"/>
    <w:rsid w:val="25E847EB"/>
    <w:rsid w:val="28DB23E5"/>
    <w:rsid w:val="2A0A3B7B"/>
    <w:rsid w:val="2B4D50F0"/>
    <w:rsid w:val="2D1012E8"/>
    <w:rsid w:val="31244B45"/>
    <w:rsid w:val="31C65DF6"/>
    <w:rsid w:val="31DE4CF4"/>
    <w:rsid w:val="33955886"/>
    <w:rsid w:val="34190265"/>
    <w:rsid w:val="359F29EC"/>
    <w:rsid w:val="388859B9"/>
    <w:rsid w:val="3B5322AF"/>
    <w:rsid w:val="3C862210"/>
    <w:rsid w:val="3E921340"/>
    <w:rsid w:val="3F201D47"/>
    <w:rsid w:val="43313A2E"/>
    <w:rsid w:val="44216737"/>
    <w:rsid w:val="446F7A2D"/>
    <w:rsid w:val="450D1720"/>
    <w:rsid w:val="45611A6C"/>
    <w:rsid w:val="48AB3B78"/>
    <w:rsid w:val="48F54968"/>
    <w:rsid w:val="4B3F0159"/>
    <w:rsid w:val="4B8C2BFF"/>
    <w:rsid w:val="4BA85902"/>
    <w:rsid w:val="4F8016F7"/>
    <w:rsid w:val="51705511"/>
    <w:rsid w:val="520E6AD8"/>
    <w:rsid w:val="52862F2A"/>
    <w:rsid w:val="53373E0C"/>
    <w:rsid w:val="53EE6BC1"/>
    <w:rsid w:val="5488491F"/>
    <w:rsid w:val="549E2395"/>
    <w:rsid w:val="585A65D3"/>
    <w:rsid w:val="58DD0FB2"/>
    <w:rsid w:val="59886344"/>
    <w:rsid w:val="5A6F20DD"/>
    <w:rsid w:val="5E014FF7"/>
    <w:rsid w:val="60E76E71"/>
    <w:rsid w:val="62521BDF"/>
    <w:rsid w:val="65A672FB"/>
    <w:rsid w:val="65C24A82"/>
    <w:rsid w:val="67E61C31"/>
    <w:rsid w:val="68CD4B9F"/>
    <w:rsid w:val="69D837FB"/>
    <w:rsid w:val="6B250CC2"/>
    <w:rsid w:val="6B99345E"/>
    <w:rsid w:val="6C44786E"/>
    <w:rsid w:val="6E072310"/>
    <w:rsid w:val="70B96C2C"/>
    <w:rsid w:val="72606A84"/>
    <w:rsid w:val="735F0AE9"/>
    <w:rsid w:val="74373814"/>
    <w:rsid w:val="77057BFA"/>
    <w:rsid w:val="7A232871"/>
    <w:rsid w:val="7B89704B"/>
    <w:rsid w:val="7BE61DA8"/>
    <w:rsid w:val="7C5A0B3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styleId="3">
    <w:name w:val="Normal Indent"/>
    <w:basedOn w:val="1"/>
    <w:unhideWhenUsed/>
    <w:qFormat/>
    <w:uiPriority w:val="99"/>
    <w:pPr>
      <w:ind w:firstLine="420" w:firstLineChars="200"/>
    </w:p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customStyle="1" w:styleId="5">
    <w:name w:val="正文首行缩进1"/>
    <w:basedOn w:val="1"/>
    <w:qFormat/>
    <w:uiPriority w:val="0"/>
    <w:pPr>
      <w:spacing w:after="120"/>
      <w:ind w:firstLine="420" w:firstLineChars="100"/>
    </w:pPr>
    <w:rPr>
      <w:rFonts w:ascii="Times New Roman" w:hAnsi="Times New Roman" w:eastAsia="宋体" w:cs="Times New Roma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adjustRightInd w:val="0"/>
      <w:snapToGrid w:val="0"/>
      <w:spacing w:after="0" w:line="360" w:lineRule="auto"/>
      <w:ind w:firstLine="420" w:firstLineChars="100"/>
    </w:pPr>
    <w:rPr>
      <w:rFonts w:ascii="Times New Roman" w:hAnsi="Times New Roman" w:eastAsia="宋体" w:cs="Times New Roman"/>
      <w:sz w:val="28"/>
      <w:szCs w:val="20"/>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10"/>
    <w:basedOn w:val="9"/>
    <w:qFormat/>
    <w:uiPriority w:val="0"/>
    <w:rPr>
      <w:rFonts w:hint="default" w:ascii="Times New Roman" w:hAnsi="Times New Roman" w:cs="Times New Roman"/>
    </w:rPr>
  </w:style>
  <w:style w:type="paragraph" w:customStyle="1" w:styleId="13">
    <w:name w:val="BodyText"/>
    <w:basedOn w:val="1"/>
    <w:next w:val="14"/>
    <w:qFormat/>
    <w:uiPriority w:val="0"/>
    <w:pPr>
      <w:textAlignment w:val="baseline"/>
    </w:pPr>
    <w:rPr>
      <w:rFonts w:ascii="仿宋_GB2312" w:hAnsi="仿宋_GB2312" w:eastAsia="仿宋_GB2312"/>
      <w:sz w:val="32"/>
      <w:szCs w:val="32"/>
      <w:lang w:val="zh-CN" w:bidi="zh-CN"/>
    </w:rPr>
  </w:style>
  <w:style w:type="paragraph" w:customStyle="1" w:styleId="14">
    <w:name w:val="BodyText1I"/>
    <w:basedOn w:val="13"/>
    <w:qFormat/>
    <w:uiPriority w:val="0"/>
    <w:pPr>
      <w:ind w:firstLine="420" w:firstLineChars="100"/>
      <w:textAlignment w:val="baseline"/>
    </w:pPr>
    <w:rPr>
      <w:rFonts w:ascii="仿宋_GB2312" w:hAnsi="仿宋_GB2312" w:eastAsia="仿宋_GB2312" w:cs="宋体"/>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3672</Words>
  <Characters>3965</Characters>
  <Lines>0</Lines>
  <Paragraphs>0</Paragraphs>
  <TotalTime>132</TotalTime>
  <ScaleCrop>false</ScaleCrop>
  <LinksUpToDate>false</LinksUpToDate>
  <CharactersWithSpaces>4428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橙子</cp:lastModifiedBy>
  <cp:lastPrinted>2024-07-05T07:15:06Z</cp:lastPrinted>
  <dcterms:modified xsi:type="dcterms:W3CDTF">2024-07-05T07:15:10Z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CB5ED00A8F6842D09001873BE50D755D_13</vt:lpwstr>
  </property>
</Properties>
</file>