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color w:val="auto"/>
          <w:sz w:val="44"/>
          <w:szCs w:val="44"/>
          <w:highlight w:val="none"/>
        </w:rPr>
      </w:pPr>
    </w:p>
    <w:p>
      <w:pPr>
        <w:jc w:val="center"/>
        <w:rPr>
          <w:rFonts w:hint="eastAsia" w:ascii="方正小标宋简体" w:hAnsi="方正小标宋简体" w:eastAsia="方正小标宋简体" w:cs="方正小标宋简体"/>
          <w:color w:val="auto"/>
          <w:sz w:val="44"/>
          <w:szCs w:val="44"/>
          <w:highlight w:val="none"/>
        </w:rPr>
      </w:pPr>
    </w:p>
    <w:p>
      <w:pPr>
        <w:jc w:val="center"/>
        <w:rPr>
          <w:rFonts w:hint="eastAsia" w:ascii="方正小标宋简体" w:hAnsi="方正小标宋简体" w:eastAsia="方正小标宋简体" w:cs="方正小标宋简体"/>
          <w:color w:val="auto"/>
          <w:sz w:val="44"/>
          <w:szCs w:val="44"/>
          <w:highlight w:val="none"/>
        </w:rPr>
      </w:pPr>
      <w:bookmarkStart w:id="1" w:name="_GoBack"/>
      <w:r>
        <w:rPr>
          <w:rFonts w:hint="eastAsia" w:ascii="方正小标宋简体" w:hAnsi="方正小标宋简体" w:eastAsia="方正小标宋简体" w:cs="方正小标宋简体"/>
          <w:color w:val="auto"/>
          <w:sz w:val="44"/>
          <w:szCs w:val="44"/>
          <w:highlight w:val="none"/>
        </w:rPr>
        <w:t>202</w:t>
      </w:r>
      <w:r>
        <w:rPr>
          <w:rFonts w:hint="eastAsia" w:ascii="方正小标宋简体" w:hAnsi="方正小标宋简体" w:eastAsia="方正小标宋简体" w:cs="方正小标宋简体"/>
          <w:color w:val="auto"/>
          <w:sz w:val="44"/>
          <w:szCs w:val="44"/>
          <w:highlight w:val="none"/>
          <w:lang w:val="en-US" w:eastAsia="zh-CN"/>
        </w:rPr>
        <w:t>3</w:t>
      </w:r>
      <w:r>
        <w:rPr>
          <w:rFonts w:hint="eastAsia" w:ascii="方正小标宋简体" w:hAnsi="方正小标宋简体" w:eastAsia="方正小标宋简体" w:cs="方正小标宋简体"/>
          <w:color w:val="auto"/>
          <w:sz w:val="44"/>
          <w:szCs w:val="44"/>
          <w:highlight w:val="none"/>
        </w:rPr>
        <w:t>年度中共岳阳市君山区纪律检查</w:t>
      </w:r>
    </w:p>
    <w:p>
      <w:pPr>
        <w:jc w:val="center"/>
        <w:rPr>
          <w:rFonts w:hint="eastAsia" w:ascii="方正小标宋简体" w:hAnsi="方正小标宋简体" w:eastAsia="方正小标宋简体" w:cs="方正小标宋简体"/>
          <w:color w:val="auto"/>
          <w:sz w:val="44"/>
          <w:szCs w:val="44"/>
          <w:highlight w:val="none"/>
        </w:rPr>
      </w:pPr>
      <w:r>
        <w:rPr>
          <w:rFonts w:hint="eastAsia" w:ascii="方正小标宋简体" w:hAnsi="方正小标宋简体" w:eastAsia="方正小标宋简体" w:cs="方正小标宋简体"/>
          <w:color w:val="auto"/>
          <w:sz w:val="44"/>
          <w:szCs w:val="44"/>
          <w:highlight w:val="none"/>
        </w:rPr>
        <w:t>委员会整体支出绩效自评报告</w:t>
      </w:r>
      <w:bookmarkEnd w:id="1"/>
    </w:p>
    <w:p>
      <w:pPr>
        <w:jc w:val="center"/>
        <w:rPr>
          <w:rFonts w:hint="default" w:ascii="Times New Roman" w:hAnsi="Times New Roman" w:eastAsia="方正小标宋_GBK" w:cs="Times New Roman"/>
          <w:b/>
          <w:color w:val="auto"/>
          <w:sz w:val="52"/>
          <w:szCs w:val="52"/>
          <w:highlight w:val="none"/>
        </w:rPr>
      </w:pPr>
    </w:p>
    <w:p>
      <w:pPr>
        <w:jc w:val="center"/>
        <w:rPr>
          <w:rFonts w:hint="default" w:ascii="Times New Roman" w:hAnsi="Times New Roman" w:eastAsia="楷体_GB2312" w:cs="Times New Roman"/>
          <w:b/>
          <w:color w:val="auto"/>
          <w:sz w:val="32"/>
          <w:szCs w:val="32"/>
          <w:highlight w:val="none"/>
        </w:rPr>
      </w:pPr>
    </w:p>
    <w:p>
      <w:pPr>
        <w:jc w:val="center"/>
        <w:rPr>
          <w:rFonts w:hint="default" w:ascii="Times New Roman" w:hAnsi="Times New Roman" w:eastAsia="楷体_GB2312" w:cs="Times New Roman"/>
          <w:b/>
          <w:color w:val="auto"/>
          <w:sz w:val="32"/>
          <w:szCs w:val="32"/>
          <w:highlight w:val="none"/>
        </w:rPr>
      </w:pPr>
    </w:p>
    <w:p>
      <w:pPr>
        <w:jc w:val="center"/>
        <w:rPr>
          <w:rFonts w:hint="default" w:ascii="Times New Roman" w:hAnsi="Times New Roman" w:eastAsia="楷体_GB2312" w:cs="Times New Roman"/>
          <w:b/>
          <w:color w:val="auto"/>
          <w:sz w:val="32"/>
          <w:szCs w:val="32"/>
          <w:highlight w:val="none"/>
        </w:rPr>
      </w:pPr>
    </w:p>
    <w:p>
      <w:pPr>
        <w:jc w:val="center"/>
        <w:rPr>
          <w:rFonts w:hint="default" w:ascii="Times New Roman" w:hAnsi="Times New Roman" w:eastAsia="楷体_GB2312" w:cs="Times New Roman"/>
          <w:b/>
          <w:color w:val="auto"/>
          <w:sz w:val="32"/>
          <w:szCs w:val="32"/>
          <w:highlight w:val="none"/>
        </w:rPr>
      </w:pPr>
    </w:p>
    <w:p>
      <w:pPr>
        <w:jc w:val="center"/>
        <w:rPr>
          <w:rFonts w:hint="default" w:ascii="Times New Roman" w:hAnsi="Times New Roman" w:eastAsia="楷体_GB2312" w:cs="Times New Roman"/>
          <w:b/>
          <w:color w:val="auto"/>
          <w:sz w:val="32"/>
          <w:szCs w:val="32"/>
          <w:highlight w:val="none"/>
        </w:rPr>
      </w:pPr>
    </w:p>
    <w:p>
      <w:pPr>
        <w:jc w:val="center"/>
        <w:rPr>
          <w:rFonts w:hint="default" w:ascii="Times New Roman" w:hAnsi="Times New Roman" w:eastAsia="楷体_GB2312" w:cs="Times New Roman"/>
          <w:b/>
          <w:color w:val="auto"/>
          <w:sz w:val="32"/>
          <w:szCs w:val="32"/>
          <w:highlight w:val="none"/>
        </w:rPr>
      </w:pPr>
    </w:p>
    <w:p>
      <w:pPr>
        <w:jc w:val="center"/>
        <w:rPr>
          <w:rFonts w:hint="default" w:ascii="Times New Roman" w:hAnsi="Times New Roman" w:eastAsia="黑体" w:cs="Times New Roman"/>
          <w:color w:val="auto"/>
          <w:sz w:val="32"/>
          <w:szCs w:val="32"/>
          <w:highlight w:val="none"/>
        </w:rPr>
      </w:pPr>
    </w:p>
    <w:p>
      <w:pPr>
        <w:jc w:val="center"/>
        <w:rPr>
          <w:rFonts w:hint="default" w:ascii="Times New Roman" w:hAnsi="Times New Roman" w:eastAsia="黑体" w:cs="Times New Roman"/>
          <w:color w:val="auto"/>
          <w:sz w:val="32"/>
          <w:szCs w:val="32"/>
          <w:highlight w:val="none"/>
        </w:rPr>
      </w:pPr>
    </w:p>
    <w:p>
      <w:pPr>
        <w:jc w:val="center"/>
        <w:rPr>
          <w:rFonts w:hint="default" w:ascii="Times New Roman" w:hAnsi="Times New Roman" w:eastAsia="黑体" w:cs="Times New Roman"/>
          <w:color w:val="auto"/>
          <w:sz w:val="32"/>
          <w:szCs w:val="32"/>
          <w:highlight w:val="none"/>
        </w:rPr>
      </w:pPr>
    </w:p>
    <w:p>
      <w:pPr>
        <w:jc w:val="both"/>
        <w:rPr>
          <w:rFonts w:hint="default" w:ascii="Times New Roman" w:hAnsi="Times New Roman" w:eastAsia="黑体" w:cs="Times New Roman"/>
          <w:color w:val="auto"/>
          <w:sz w:val="32"/>
          <w:szCs w:val="32"/>
          <w:highlight w:val="none"/>
        </w:rPr>
      </w:pPr>
    </w:p>
    <w:p>
      <w:pPr>
        <w:jc w:val="center"/>
        <w:rPr>
          <w:rFonts w:hint="default" w:ascii="Times New Roman" w:hAnsi="Times New Roman" w:eastAsia="黑体" w:cs="Times New Roman"/>
          <w:color w:val="auto"/>
          <w:sz w:val="32"/>
          <w:szCs w:val="32"/>
          <w:highlight w:val="none"/>
        </w:rPr>
      </w:pPr>
    </w:p>
    <w:p>
      <w:pPr>
        <w:spacing w:line="600" w:lineRule="exact"/>
        <w:jc w:val="center"/>
        <w:rPr>
          <w:rFonts w:hint="default" w:ascii="Times New Roman" w:hAnsi="Times New Roman" w:eastAsia="仿宋_GB2312" w:cs="Times New Roman"/>
          <w:color w:val="auto"/>
          <w:sz w:val="32"/>
          <w:szCs w:val="32"/>
          <w:highlight w:val="none"/>
        </w:rPr>
      </w:pPr>
    </w:p>
    <w:p>
      <w:pPr>
        <w:spacing w:line="600" w:lineRule="exact"/>
        <w:jc w:val="center"/>
        <w:rPr>
          <w:rFonts w:hint="default" w:ascii="Times New Roman" w:hAnsi="Times New Roman" w:eastAsia="仿宋_GB2312" w:cs="Times New Roman"/>
          <w:color w:val="auto"/>
          <w:sz w:val="32"/>
          <w:szCs w:val="32"/>
          <w:highlight w:val="none"/>
          <w:u w:val="single"/>
        </w:rPr>
      </w:pPr>
      <w:r>
        <w:rPr>
          <w:rFonts w:hint="default" w:ascii="Times New Roman" w:hAnsi="Times New Roman" w:eastAsia="仿宋_GB2312" w:cs="Times New Roman"/>
          <w:color w:val="auto"/>
          <w:sz w:val="32"/>
          <w:szCs w:val="32"/>
          <w:highlight w:val="none"/>
        </w:rPr>
        <w:t>部门（单位）名称：</w:t>
      </w:r>
      <w:r>
        <w:rPr>
          <w:rFonts w:hint="default" w:ascii="Times New Roman" w:hAnsi="Times New Roman" w:eastAsia="仿宋_GB2312" w:cs="Times New Roman"/>
          <w:color w:val="auto"/>
          <w:sz w:val="32"/>
          <w:szCs w:val="32"/>
          <w:highlight w:val="none"/>
          <w:u w:val="single"/>
        </w:rPr>
        <w:t>（盖章）</w:t>
      </w:r>
    </w:p>
    <w:p>
      <w:pPr>
        <w:spacing w:line="600" w:lineRule="exact"/>
        <w:jc w:val="center"/>
        <w:rPr>
          <w:rFonts w:hint="default" w:ascii="Times New Roman" w:hAnsi="Times New Roman" w:eastAsia="楷体_GB2312" w:cs="Times New Roman"/>
          <w:color w:val="auto"/>
          <w:sz w:val="32"/>
          <w:szCs w:val="32"/>
          <w:highlight w:val="none"/>
        </w:rPr>
      </w:pPr>
      <w:r>
        <w:rPr>
          <w:rFonts w:hint="eastAsia" w:ascii="Times New Roman" w:hAnsi="Times New Roman" w:eastAsia="楷体_GB2312" w:cs="Times New Roman"/>
          <w:color w:val="auto"/>
          <w:sz w:val="32"/>
          <w:szCs w:val="32"/>
          <w:highlight w:val="none"/>
          <w:lang w:val="en-US" w:eastAsia="zh-CN"/>
        </w:rPr>
        <w:t>2024</w:t>
      </w:r>
      <w:r>
        <w:rPr>
          <w:rFonts w:hint="default" w:ascii="Times New Roman" w:hAnsi="Times New Roman" w:eastAsia="楷体_GB2312" w:cs="Times New Roman"/>
          <w:color w:val="auto"/>
          <w:sz w:val="32"/>
          <w:szCs w:val="32"/>
          <w:highlight w:val="none"/>
        </w:rPr>
        <w:t>年</w:t>
      </w:r>
      <w:r>
        <w:rPr>
          <w:rFonts w:hint="eastAsia" w:ascii="Times New Roman" w:hAnsi="Times New Roman" w:eastAsia="楷体_GB2312" w:cs="Times New Roman"/>
          <w:color w:val="auto"/>
          <w:sz w:val="32"/>
          <w:szCs w:val="32"/>
          <w:highlight w:val="none"/>
          <w:lang w:val="en-US" w:eastAsia="zh-CN"/>
        </w:rPr>
        <w:t>6</w:t>
      </w:r>
      <w:r>
        <w:rPr>
          <w:rFonts w:hint="default" w:ascii="Times New Roman" w:hAnsi="Times New Roman" w:eastAsia="楷体_GB2312" w:cs="Times New Roman"/>
          <w:color w:val="auto"/>
          <w:sz w:val="32"/>
          <w:szCs w:val="32"/>
          <w:highlight w:val="none"/>
        </w:rPr>
        <w:t>月</w:t>
      </w:r>
      <w:r>
        <w:rPr>
          <w:rFonts w:hint="eastAsia" w:ascii="Times New Roman" w:hAnsi="Times New Roman" w:eastAsia="楷体_GB2312" w:cs="Times New Roman"/>
          <w:color w:val="auto"/>
          <w:sz w:val="32"/>
          <w:szCs w:val="32"/>
          <w:highlight w:val="none"/>
          <w:lang w:val="en-US" w:eastAsia="zh-CN"/>
        </w:rPr>
        <w:t>30</w:t>
      </w:r>
      <w:r>
        <w:rPr>
          <w:rFonts w:hint="default" w:ascii="Times New Roman" w:hAnsi="Times New Roman" w:eastAsia="楷体_GB2312" w:cs="Times New Roman"/>
          <w:color w:val="auto"/>
          <w:sz w:val="32"/>
          <w:szCs w:val="32"/>
          <w:highlight w:val="none"/>
        </w:rPr>
        <w:t>日</w:t>
      </w:r>
    </w:p>
    <w:p>
      <w:pPr>
        <w:jc w:val="center"/>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br w:type="page"/>
      </w:r>
    </w:p>
    <w:p>
      <w:pPr>
        <w:jc w:val="center"/>
        <w:rPr>
          <w:rFonts w:hint="default" w:ascii="Times New Roman" w:hAnsi="Times New Roman" w:eastAsia="仿宋_GB2312" w:cs="Times New Roman"/>
          <w:color w:val="auto"/>
          <w:sz w:val="32"/>
          <w:szCs w:val="32"/>
          <w:highlight w:val="none"/>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color w:val="auto"/>
          <w:sz w:val="44"/>
          <w:szCs w:val="44"/>
          <w:highlight w:val="none"/>
        </w:rPr>
      </w:pPr>
      <w:r>
        <w:rPr>
          <w:rFonts w:hint="eastAsia" w:ascii="方正小标宋简体" w:hAnsi="方正小标宋简体" w:eastAsia="方正小标宋简体" w:cs="方正小标宋简体"/>
          <w:color w:val="auto"/>
          <w:sz w:val="44"/>
          <w:szCs w:val="44"/>
          <w:highlight w:val="none"/>
        </w:rPr>
        <w:t>202</w:t>
      </w:r>
      <w:r>
        <w:rPr>
          <w:rFonts w:hint="eastAsia" w:ascii="方正小标宋简体" w:hAnsi="方正小标宋简体" w:eastAsia="方正小标宋简体" w:cs="方正小标宋简体"/>
          <w:color w:val="auto"/>
          <w:sz w:val="44"/>
          <w:szCs w:val="44"/>
          <w:highlight w:val="none"/>
          <w:lang w:val="en-US" w:eastAsia="zh-CN"/>
        </w:rPr>
        <w:t>3</w:t>
      </w:r>
      <w:r>
        <w:rPr>
          <w:rFonts w:hint="eastAsia" w:ascii="方正小标宋简体" w:hAnsi="方正小标宋简体" w:eastAsia="方正小标宋简体" w:cs="方正小标宋简体"/>
          <w:color w:val="auto"/>
          <w:sz w:val="44"/>
          <w:szCs w:val="44"/>
          <w:highlight w:val="none"/>
        </w:rPr>
        <w:t>年度中共岳阳市君山区纪律检查</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color w:val="auto"/>
          <w:sz w:val="44"/>
          <w:szCs w:val="44"/>
          <w:highlight w:val="none"/>
        </w:rPr>
      </w:pPr>
      <w:r>
        <w:rPr>
          <w:rFonts w:hint="eastAsia" w:ascii="方正小标宋简体" w:hAnsi="方正小标宋简体" w:eastAsia="方正小标宋简体" w:cs="方正小标宋简体"/>
          <w:color w:val="auto"/>
          <w:sz w:val="44"/>
          <w:szCs w:val="44"/>
          <w:highlight w:val="none"/>
        </w:rPr>
        <w:t>委员会整体支出绩效自评报告</w:t>
      </w:r>
    </w:p>
    <w:p>
      <w:pPr>
        <w:keepNext w:val="0"/>
        <w:keepLines w:val="0"/>
        <w:pageBreakBefore w:val="0"/>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color w:val="auto"/>
          <w:sz w:val="32"/>
          <w:szCs w:val="32"/>
          <w:highlight w:val="none"/>
        </w:rPr>
      </w:pPr>
    </w:p>
    <w:p>
      <w:pPr>
        <w:keepNext w:val="0"/>
        <w:keepLines w:val="0"/>
        <w:pageBreakBefore w:val="0"/>
        <w:numPr>
          <w:ilvl w:val="0"/>
          <w:numId w:val="1"/>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部门（单位）基本情况</w:t>
      </w:r>
    </w:p>
    <w:p>
      <w:pPr>
        <w:keepNext w:val="0"/>
        <w:keepLines w:val="0"/>
        <w:pageBreakBefore w:val="0"/>
        <w:widowControl/>
        <w:kinsoku/>
        <w:wordWrap/>
        <w:overflowPunct/>
        <w:topLinePunct w:val="0"/>
        <w:autoSpaceDE/>
        <w:autoSpaceDN/>
        <w:bidi w:val="0"/>
        <w:adjustRightInd/>
        <w:snapToGrid/>
        <w:spacing w:line="400" w:lineRule="exact"/>
        <w:ind w:firstLine="562" w:firstLineChars="200"/>
        <w:jc w:val="left"/>
        <w:textAlignment w:val="auto"/>
        <w:rPr>
          <w:rFonts w:hint="eastAsia" w:ascii="Times New Roman" w:hAnsi="Times New Roman" w:eastAsia="楷体_GB2312" w:cs="Times New Roman"/>
          <w:b/>
          <w:color w:val="auto"/>
          <w:kern w:val="0"/>
          <w:sz w:val="28"/>
          <w:szCs w:val="28"/>
          <w:highlight w:val="none"/>
          <w:lang w:val="en-US" w:eastAsia="zh-CN" w:bidi="ar-SA"/>
        </w:rPr>
      </w:pPr>
      <w:r>
        <w:rPr>
          <w:rFonts w:hint="eastAsia" w:ascii="Times New Roman" w:hAnsi="Times New Roman" w:eastAsia="楷体_GB2312" w:cs="Times New Roman"/>
          <w:b/>
          <w:color w:val="auto"/>
          <w:kern w:val="0"/>
          <w:sz w:val="28"/>
          <w:szCs w:val="28"/>
          <w:highlight w:val="none"/>
          <w:lang w:val="en-US" w:eastAsia="zh-CN" w:bidi="ar-SA"/>
        </w:rPr>
        <w:t>（一）单位基本情况</w:t>
      </w:r>
    </w:p>
    <w:p>
      <w:pPr>
        <w:keepNext w:val="0"/>
        <w:keepLines w:val="0"/>
        <w:pageBreakBefore w:val="0"/>
        <w:widowControl/>
        <w:kinsoku/>
        <w:wordWrap/>
        <w:overflowPunct/>
        <w:topLinePunct w:val="0"/>
        <w:autoSpaceDE/>
        <w:autoSpaceDN/>
        <w:bidi w:val="0"/>
        <w:adjustRightInd/>
        <w:snapToGrid/>
        <w:spacing w:line="400" w:lineRule="exact"/>
        <w:ind w:firstLine="560" w:firstLineChars="200"/>
        <w:jc w:val="left"/>
        <w:textAlignment w:val="auto"/>
        <w:rPr>
          <w:rFonts w:hint="eastAsia" w:ascii="方正仿宋_GB2312" w:hAnsi="方正仿宋_GB2312" w:eastAsia="方正仿宋_GB2312" w:cs="方正仿宋_GB2312"/>
          <w:color w:val="auto"/>
          <w:sz w:val="28"/>
          <w:szCs w:val="28"/>
        </w:rPr>
      </w:pPr>
      <w:r>
        <w:rPr>
          <w:rFonts w:hint="eastAsia" w:ascii="方正仿宋_GB2312" w:hAnsi="方正仿宋_GB2312" w:eastAsia="方正仿宋_GB2312" w:cs="方正仿宋_GB2312"/>
          <w:color w:val="auto"/>
          <w:sz w:val="28"/>
          <w:szCs w:val="28"/>
        </w:rPr>
        <w:t>中共岳阳市君山区纪律检查委员会、岳阳市君山区监察委员会是党统一领导下的反腐败工作机构，履行纪检、监察两项职责，实行一套工作机构、两个机关名称，共同设立内设机构。</w:t>
      </w:r>
    </w:p>
    <w:p>
      <w:pPr>
        <w:pStyle w:val="8"/>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jc w:val="both"/>
        <w:textAlignment w:val="auto"/>
        <w:rPr>
          <w:rFonts w:hint="eastAsia" w:ascii="Times New Roman" w:hAnsi="Times New Roman" w:eastAsia="楷体_GB2312" w:cs="Times New Roman"/>
          <w:b/>
          <w:color w:val="auto"/>
          <w:sz w:val="28"/>
          <w:szCs w:val="28"/>
          <w:highlight w:val="none"/>
          <w:lang w:eastAsia="zh-CN"/>
        </w:rPr>
      </w:pPr>
      <w:r>
        <w:rPr>
          <w:rFonts w:hint="eastAsia" w:ascii="Times New Roman" w:hAnsi="Times New Roman" w:eastAsia="楷体_GB2312" w:cs="Times New Roman"/>
          <w:b/>
          <w:color w:val="auto"/>
          <w:sz w:val="28"/>
          <w:szCs w:val="28"/>
          <w:highlight w:val="none"/>
          <w:lang w:eastAsia="zh-CN"/>
        </w:rPr>
        <w:t>（二）机构设置与人员情况</w:t>
      </w:r>
    </w:p>
    <w:p>
      <w:pPr>
        <w:keepNext w:val="0"/>
        <w:keepLines w:val="0"/>
        <w:pageBreakBefore w:val="0"/>
        <w:widowControl/>
        <w:kinsoku/>
        <w:wordWrap/>
        <w:overflowPunct/>
        <w:topLinePunct w:val="0"/>
        <w:autoSpaceDE/>
        <w:autoSpaceDN/>
        <w:bidi w:val="0"/>
        <w:adjustRightInd/>
        <w:snapToGrid/>
        <w:spacing w:line="400" w:lineRule="exact"/>
        <w:ind w:firstLine="560" w:firstLineChars="200"/>
        <w:jc w:val="left"/>
        <w:textAlignment w:val="auto"/>
        <w:rPr>
          <w:rFonts w:hint="eastAsia" w:ascii="方正仿宋_GB2312" w:hAnsi="方正仿宋_GB2312" w:eastAsia="方正仿宋_GB2312" w:cs="方正仿宋_GB2312"/>
          <w:color w:val="auto"/>
          <w:sz w:val="28"/>
          <w:szCs w:val="28"/>
          <w:lang w:eastAsia="zh-CN"/>
        </w:rPr>
      </w:pPr>
      <w:r>
        <w:rPr>
          <w:rFonts w:hint="eastAsia" w:ascii="方正仿宋_GB2312" w:hAnsi="方正仿宋_GB2312" w:eastAsia="方正仿宋_GB2312" w:cs="方正仿宋_GB2312"/>
          <w:color w:val="auto"/>
          <w:sz w:val="28"/>
          <w:szCs w:val="28"/>
          <w:lang w:eastAsia="zh-CN"/>
        </w:rPr>
        <w:t>区纪委（区监委）机关设置10个内设机构，分别为：综合部门1个，即办公室；监督执纪部门9个，即党风政风监督室、信访室、案件监督管理室、第一至第四纪检监察室、案件审理室、纪检监察干部监督室。6个派驻纪检监察组，分别为驻区委办纪检监察组、驻区政府办纪检监察组、驻区政法委纪检监察组、驻区农业农村局纪检监察组、驻区教育局纪检监察组、驻区交通局纪检监察组。</w:t>
      </w:r>
    </w:p>
    <w:p>
      <w:pPr>
        <w:pStyle w:val="8"/>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二、一般公共预算支出情况</w:t>
      </w:r>
    </w:p>
    <w:p>
      <w:pPr>
        <w:pStyle w:val="8"/>
        <w:keepNext w:val="0"/>
        <w:keepLines w:val="0"/>
        <w:pageBreakBefore w:val="0"/>
        <w:widowControl/>
        <w:kinsoku/>
        <w:wordWrap/>
        <w:overflowPunct/>
        <w:topLinePunct w:val="0"/>
        <w:autoSpaceDE/>
        <w:autoSpaceDN/>
        <w:bidi w:val="0"/>
        <w:adjustRightInd/>
        <w:snapToGrid/>
        <w:spacing w:line="640" w:lineRule="exact"/>
        <w:ind w:firstLine="562" w:firstLineChars="200"/>
        <w:jc w:val="both"/>
        <w:textAlignment w:val="auto"/>
        <w:rPr>
          <w:rFonts w:hint="default" w:ascii="Times New Roman" w:hAnsi="Times New Roman" w:eastAsia="楷体_GB2312" w:cs="Times New Roman"/>
          <w:b/>
          <w:color w:val="auto"/>
          <w:sz w:val="28"/>
          <w:szCs w:val="28"/>
          <w:highlight w:val="none"/>
        </w:rPr>
      </w:pPr>
      <w:r>
        <w:rPr>
          <w:rFonts w:hint="default" w:ascii="Times New Roman" w:hAnsi="Times New Roman" w:eastAsia="楷体_GB2312" w:cs="Times New Roman"/>
          <w:b/>
          <w:color w:val="auto"/>
          <w:sz w:val="28"/>
          <w:szCs w:val="28"/>
          <w:highlight w:val="none"/>
        </w:rPr>
        <w:t>（一）基本支出情况</w:t>
      </w:r>
    </w:p>
    <w:p>
      <w:pPr>
        <w:keepNext w:val="0"/>
        <w:keepLines w:val="0"/>
        <w:pageBreakBefore w:val="0"/>
        <w:widowControl/>
        <w:kinsoku/>
        <w:wordWrap/>
        <w:overflowPunct/>
        <w:topLinePunct w:val="0"/>
        <w:autoSpaceDE/>
        <w:autoSpaceDN/>
        <w:bidi w:val="0"/>
        <w:adjustRightInd/>
        <w:snapToGrid/>
        <w:spacing w:line="400" w:lineRule="exact"/>
        <w:ind w:firstLine="560" w:firstLineChars="200"/>
        <w:jc w:val="left"/>
        <w:textAlignment w:val="auto"/>
        <w:rPr>
          <w:rFonts w:hint="default" w:ascii="方正仿宋_GB2312" w:hAnsi="方正仿宋_GB2312" w:eastAsia="方正仿宋_GB2312" w:cs="方正仿宋_GB2312"/>
          <w:color w:val="auto"/>
          <w:sz w:val="28"/>
          <w:szCs w:val="28"/>
          <w:lang w:val="en-US" w:eastAsia="zh-CN"/>
        </w:rPr>
      </w:pPr>
      <w:r>
        <w:rPr>
          <w:rFonts w:hint="eastAsia" w:ascii="方正仿宋_GB2312" w:hAnsi="方正仿宋_GB2312" w:eastAsia="方正仿宋_GB2312" w:cs="方正仿宋_GB2312"/>
          <w:color w:val="auto"/>
          <w:sz w:val="28"/>
          <w:szCs w:val="28"/>
          <w:lang w:val="en-US" w:eastAsia="zh-CN"/>
        </w:rPr>
        <w:t>2023年</w:t>
      </w:r>
      <w:r>
        <w:rPr>
          <w:rFonts w:hint="default" w:ascii="方正仿宋_GB2312" w:hAnsi="方正仿宋_GB2312" w:eastAsia="方正仿宋_GB2312" w:cs="方正仿宋_GB2312"/>
          <w:color w:val="auto"/>
          <w:sz w:val="28"/>
          <w:szCs w:val="28"/>
          <w:lang w:val="en-US" w:eastAsia="zh-CN"/>
        </w:rPr>
        <w:t>全年基本支出</w:t>
      </w:r>
      <w:r>
        <w:rPr>
          <w:rFonts w:hint="eastAsia" w:ascii="方正仿宋_GB2312" w:hAnsi="方正仿宋_GB2312" w:eastAsia="方正仿宋_GB2312" w:cs="方正仿宋_GB2312"/>
          <w:color w:val="auto"/>
          <w:sz w:val="28"/>
          <w:szCs w:val="28"/>
          <w:lang w:val="en-US" w:eastAsia="zh-CN"/>
        </w:rPr>
        <w:t>1047.82</w:t>
      </w:r>
      <w:r>
        <w:rPr>
          <w:rFonts w:hint="default" w:ascii="方正仿宋_GB2312" w:hAnsi="方正仿宋_GB2312" w:eastAsia="方正仿宋_GB2312" w:cs="方正仿宋_GB2312"/>
          <w:color w:val="auto"/>
          <w:sz w:val="28"/>
          <w:szCs w:val="28"/>
          <w:lang w:val="en-US" w:eastAsia="zh-CN"/>
        </w:rPr>
        <w:t>万元，其中人员经费</w:t>
      </w:r>
      <w:r>
        <w:rPr>
          <w:rFonts w:hint="eastAsia" w:ascii="方正仿宋_GB2312" w:hAnsi="方正仿宋_GB2312" w:eastAsia="方正仿宋_GB2312" w:cs="方正仿宋_GB2312"/>
          <w:color w:val="auto"/>
          <w:sz w:val="28"/>
          <w:szCs w:val="28"/>
          <w:lang w:val="en-US" w:eastAsia="zh-CN"/>
        </w:rPr>
        <w:t>696.17</w:t>
      </w:r>
      <w:r>
        <w:rPr>
          <w:rFonts w:hint="default" w:ascii="方正仿宋_GB2312" w:hAnsi="方正仿宋_GB2312" w:eastAsia="方正仿宋_GB2312" w:cs="方正仿宋_GB2312"/>
          <w:color w:val="auto"/>
          <w:sz w:val="28"/>
          <w:szCs w:val="28"/>
          <w:lang w:val="en-US" w:eastAsia="zh-CN"/>
        </w:rPr>
        <w:t>万元，公用经费</w:t>
      </w:r>
      <w:r>
        <w:rPr>
          <w:rFonts w:hint="eastAsia" w:ascii="方正仿宋_GB2312" w:hAnsi="方正仿宋_GB2312" w:eastAsia="方正仿宋_GB2312" w:cs="方正仿宋_GB2312"/>
          <w:color w:val="auto"/>
          <w:sz w:val="28"/>
          <w:szCs w:val="28"/>
          <w:lang w:val="en-US" w:eastAsia="zh-CN"/>
        </w:rPr>
        <w:t>351.65</w:t>
      </w:r>
      <w:r>
        <w:rPr>
          <w:rFonts w:hint="default" w:ascii="方正仿宋_GB2312" w:hAnsi="方正仿宋_GB2312" w:eastAsia="方正仿宋_GB2312" w:cs="方正仿宋_GB2312"/>
          <w:color w:val="auto"/>
          <w:sz w:val="28"/>
          <w:szCs w:val="28"/>
          <w:lang w:val="en-US" w:eastAsia="zh-CN"/>
        </w:rPr>
        <w:t>万元。</w:t>
      </w:r>
    </w:p>
    <w:p>
      <w:pPr>
        <w:keepNext w:val="0"/>
        <w:keepLines w:val="0"/>
        <w:pageBreakBefore w:val="0"/>
        <w:widowControl/>
        <w:kinsoku/>
        <w:wordWrap/>
        <w:overflowPunct/>
        <w:topLinePunct w:val="0"/>
        <w:autoSpaceDE/>
        <w:autoSpaceDN/>
        <w:bidi w:val="0"/>
        <w:adjustRightInd/>
        <w:snapToGrid/>
        <w:spacing w:line="400" w:lineRule="exact"/>
        <w:ind w:firstLine="560" w:firstLineChars="200"/>
        <w:jc w:val="left"/>
        <w:textAlignment w:val="auto"/>
        <w:rPr>
          <w:rFonts w:hint="default" w:ascii="方正仿宋_GB2312" w:hAnsi="方正仿宋_GB2312" w:eastAsia="方正仿宋_GB2312" w:cs="方正仿宋_GB2312"/>
          <w:color w:val="auto"/>
          <w:sz w:val="28"/>
          <w:szCs w:val="28"/>
          <w:lang w:val="en-US" w:eastAsia="zh-CN"/>
        </w:rPr>
      </w:pPr>
      <w:r>
        <w:rPr>
          <w:rFonts w:hint="eastAsia" w:ascii="方正仿宋_GB2312" w:hAnsi="方正仿宋_GB2312" w:eastAsia="方正仿宋_GB2312" w:cs="方正仿宋_GB2312"/>
          <w:color w:val="auto"/>
          <w:sz w:val="28"/>
          <w:szCs w:val="28"/>
          <w:lang w:val="en-US" w:eastAsia="zh-CN"/>
        </w:rPr>
        <w:t>基本支出主要是指为保障单位机构正常运转、完成日常工作任务而发生的各项支出，包括用于基本工资、绩效工资、津贴补贴、社会保障缴费等人员经费，办公费、印刷费、水电费、差旅费、公务接待费、维修（护）费等日常公用经费，以及离退休费用等其他对个人和家庭的补助支出。</w:t>
      </w:r>
    </w:p>
    <w:p>
      <w:pPr>
        <w:pStyle w:val="8"/>
        <w:keepNext w:val="0"/>
        <w:keepLines w:val="0"/>
        <w:pageBreakBefore w:val="0"/>
        <w:widowControl/>
        <w:kinsoku/>
        <w:wordWrap/>
        <w:overflowPunct/>
        <w:topLinePunct w:val="0"/>
        <w:autoSpaceDE/>
        <w:autoSpaceDN/>
        <w:bidi w:val="0"/>
        <w:adjustRightInd/>
        <w:snapToGrid/>
        <w:spacing w:line="640" w:lineRule="exact"/>
        <w:ind w:firstLine="562" w:firstLineChars="200"/>
        <w:jc w:val="both"/>
        <w:textAlignment w:val="auto"/>
        <w:rPr>
          <w:rFonts w:hint="default" w:ascii="Times New Roman" w:hAnsi="Times New Roman" w:eastAsia="楷体_GB2312" w:cs="Times New Roman"/>
          <w:b/>
          <w:color w:val="auto"/>
          <w:sz w:val="28"/>
          <w:szCs w:val="28"/>
          <w:highlight w:val="none"/>
        </w:rPr>
      </w:pPr>
      <w:r>
        <w:rPr>
          <w:rFonts w:hint="default" w:ascii="Times New Roman" w:hAnsi="Times New Roman" w:eastAsia="楷体_GB2312" w:cs="Times New Roman"/>
          <w:b/>
          <w:color w:val="auto"/>
          <w:sz w:val="28"/>
          <w:szCs w:val="28"/>
          <w:highlight w:val="none"/>
        </w:rPr>
        <w:t>（二）项目支出情况</w:t>
      </w:r>
    </w:p>
    <w:p>
      <w:pPr>
        <w:keepNext w:val="0"/>
        <w:keepLines w:val="0"/>
        <w:pageBreakBefore w:val="0"/>
        <w:widowControl/>
        <w:kinsoku/>
        <w:wordWrap/>
        <w:overflowPunct/>
        <w:topLinePunct w:val="0"/>
        <w:autoSpaceDE/>
        <w:autoSpaceDN/>
        <w:bidi w:val="0"/>
        <w:adjustRightInd/>
        <w:snapToGrid/>
        <w:spacing w:line="400" w:lineRule="exact"/>
        <w:ind w:firstLine="560" w:firstLineChars="200"/>
        <w:jc w:val="left"/>
        <w:textAlignment w:val="auto"/>
        <w:rPr>
          <w:rFonts w:hint="eastAsia" w:ascii="方正仿宋_GB2312" w:hAnsi="方正仿宋_GB2312" w:eastAsia="方正仿宋_GB2312" w:cs="方正仿宋_GB2312"/>
          <w:color w:val="auto"/>
          <w:sz w:val="28"/>
          <w:szCs w:val="28"/>
          <w:lang w:val="en-US" w:eastAsia="zh-CN"/>
        </w:rPr>
      </w:pPr>
      <w:r>
        <w:rPr>
          <w:rFonts w:hint="eastAsia" w:ascii="方正仿宋_GB2312" w:hAnsi="方正仿宋_GB2312" w:eastAsia="方正仿宋_GB2312" w:cs="方正仿宋_GB2312"/>
          <w:color w:val="auto"/>
          <w:sz w:val="28"/>
          <w:szCs w:val="28"/>
          <w:lang w:val="en-US" w:eastAsia="zh-CN"/>
        </w:rPr>
        <w:t>2023年</w:t>
      </w:r>
      <w:r>
        <w:rPr>
          <w:rFonts w:hint="default" w:ascii="方正仿宋_GB2312" w:hAnsi="方正仿宋_GB2312" w:eastAsia="方正仿宋_GB2312" w:cs="方正仿宋_GB2312"/>
          <w:color w:val="auto"/>
          <w:sz w:val="28"/>
          <w:szCs w:val="28"/>
          <w:lang w:val="en-US" w:eastAsia="zh-CN"/>
        </w:rPr>
        <w:t>全年</w:t>
      </w:r>
      <w:r>
        <w:rPr>
          <w:rFonts w:hint="eastAsia" w:ascii="方正仿宋_GB2312" w:hAnsi="方正仿宋_GB2312" w:eastAsia="方正仿宋_GB2312" w:cs="方正仿宋_GB2312"/>
          <w:color w:val="auto"/>
          <w:sz w:val="28"/>
          <w:szCs w:val="28"/>
          <w:lang w:val="en-US" w:eastAsia="zh-CN"/>
        </w:rPr>
        <w:t>项目支出122.28</w:t>
      </w:r>
      <w:r>
        <w:rPr>
          <w:rFonts w:hint="default" w:ascii="方正仿宋_GB2312" w:hAnsi="方正仿宋_GB2312" w:eastAsia="方正仿宋_GB2312" w:cs="方正仿宋_GB2312"/>
          <w:color w:val="auto"/>
          <w:sz w:val="28"/>
          <w:szCs w:val="28"/>
          <w:lang w:val="en-US" w:eastAsia="zh-CN"/>
        </w:rPr>
        <w:t>万元</w:t>
      </w:r>
      <w:r>
        <w:rPr>
          <w:rFonts w:hint="eastAsia" w:ascii="方正仿宋_GB2312" w:hAnsi="方正仿宋_GB2312" w:eastAsia="方正仿宋_GB2312" w:cs="方正仿宋_GB2312"/>
          <w:color w:val="auto"/>
          <w:sz w:val="28"/>
          <w:szCs w:val="28"/>
          <w:lang w:val="en-US" w:eastAsia="zh-CN"/>
        </w:rPr>
        <w:t>，主要是本部门为完成特定行政工作任务或事业发展目标而发生的支出，为业务工作经费支出，包括办公费、办公设备购置、专用设备购置、其他商品和服务等。</w:t>
      </w:r>
    </w:p>
    <w:p>
      <w:pPr>
        <w:pStyle w:val="8"/>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三、政府性基金预算支出情况</w:t>
      </w:r>
    </w:p>
    <w:p>
      <w:pPr>
        <w:keepNext w:val="0"/>
        <w:keepLines w:val="0"/>
        <w:pageBreakBefore w:val="0"/>
        <w:widowControl/>
        <w:kinsoku/>
        <w:wordWrap/>
        <w:overflowPunct/>
        <w:topLinePunct w:val="0"/>
        <w:autoSpaceDE/>
        <w:autoSpaceDN/>
        <w:bidi w:val="0"/>
        <w:adjustRightInd/>
        <w:snapToGrid/>
        <w:spacing w:line="400" w:lineRule="exact"/>
        <w:ind w:firstLine="560" w:firstLineChars="200"/>
        <w:jc w:val="left"/>
        <w:textAlignment w:val="auto"/>
        <w:rPr>
          <w:rFonts w:hint="default" w:ascii="Times New Roman" w:hAnsi="Times New Roman" w:eastAsia="黑体" w:cs="Times New Roman"/>
          <w:color w:val="auto"/>
          <w:sz w:val="32"/>
          <w:szCs w:val="32"/>
          <w:highlight w:val="none"/>
        </w:rPr>
      </w:pPr>
      <w:r>
        <w:rPr>
          <w:rFonts w:hint="eastAsia" w:ascii="方正仿宋_GB2312" w:hAnsi="方正仿宋_GB2312" w:eastAsia="方正仿宋_GB2312" w:cs="方正仿宋_GB2312"/>
          <w:color w:val="auto"/>
          <w:sz w:val="28"/>
          <w:szCs w:val="28"/>
          <w:lang w:val="en-US" w:eastAsia="zh-CN"/>
        </w:rPr>
        <w:t>无此项支出。</w:t>
      </w:r>
    </w:p>
    <w:p>
      <w:pPr>
        <w:pStyle w:val="8"/>
        <w:keepNext w:val="0"/>
        <w:keepLines w:val="0"/>
        <w:pageBreakBefore w:val="0"/>
        <w:widowControl/>
        <w:numPr>
          <w:ilvl w:val="0"/>
          <w:numId w:val="2"/>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国有资本经营预算支出情况</w:t>
      </w:r>
    </w:p>
    <w:p>
      <w:pPr>
        <w:keepNext w:val="0"/>
        <w:keepLines w:val="0"/>
        <w:pageBreakBefore w:val="0"/>
        <w:widowControl/>
        <w:kinsoku/>
        <w:wordWrap/>
        <w:overflowPunct/>
        <w:topLinePunct w:val="0"/>
        <w:autoSpaceDE/>
        <w:autoSpaceDN/>
        <w:bidi w:val="0"/>
        <w:adjustRightInd/>
        <w:snapToGrid/>
        <w:spacing w:line="400" w:lineRule="exact"/>
        <w:ind w:firstLine="560" w:firstLineChars="200"/>
        <w:jc w:val="left"/>
        <w:textAlignment w:val="auto"/>
        <w:rPr>
          <w:rFonts w:hint="default" w:ascii="方正仿宋_GB2312" w:hAnsi="方正仿宋_GB2312" w:eastAsia="方正仿宋_GB2312" w:cs="方正仿宋_GB2312"/>
          <w:color w:val="auto"/>
          <w:sz w:val="28"/>
          <w:szCs w:val="28"/>
          <w:lang w:val="en-US" w:eastAsia="zh-CN"/>
        </w:rPr>
      </w:pPr>
      <w:r>
        <w:rPr>
          <w:rFonts w:hint="eastAsia" w:ascii="方正仿宋_GB2312" w:hAnsi="方正仿宋_GB2312" w:eastAsia="方正仿宋_GB2312" w:cs="方正仿宋_GB2312"/>
          <w:color w:val="auto"/>
          <w:sz w:val="28"/>
          <w:szCs w:val="28"/>
          <w:lang w:val="en-US" w:eastAsia="zh-CN"/>
        </w:rPr>
        <w:t>无此项支出。</w:t>
      </w:r>
    </w:p>
    <w:p>
      <w:pPr>
        <w:pStyle w:val="8"/>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五、社会保险基金预算支出情况</w:t>
      </w:r>
    </w:p>
    <w:p>
      <w:pPr>
        <w:keepNext w:val="0"/>
        <w:keepLines w:val="0"/>
        <w:pageBreakBefore w:val="0"/>
        <w:widowControl/>
        <w:kinsoku/>
        <w:wordWrap/>
        <w:overflowPunct/>
        <w:topLinePunct w:val="0"/>
        <w:autoSpaceDE/>
        <w:autoSpaceDN/>
        <w:bidi w:val="0"/>
        <w:adjustRightInd/>
        <w:snapToGrid/>
        <w:spacing w:line="400" w:lineRule="exact"/>
        <w:ind w:firstLine="560" w:firstLineChars="200"/>
        <w:jc w:val="left"/>
        <w:textAlignment w:val="auto"/>
        <w:rPr>
          <w:rFonts w:hint="default" w:ascii="方正仿宋_GB2312" w:hAnsi="方正仿宋_GB2312" w:eastAsia="方正仿宋_GB2312" w:cs="方正仿宋_GB2312"/>
          <w:color w:val="auto"/>
          <w:sz w:val="28"/>
          <w:szCs w:val="28"/>
          <w:lang w:val="en-US" w:eastAsia="zh-CN"/>
        </w:rPr>
      </w:pPr>
      <w:r>
        <w:rPr>
          <w:rFonts w:hint="eastAsia" w:ascii="方正仿宋_GB2312" w:hAnsi="方正仿宋_GB2312" w:eastAsia="方正仿宋_GB2312" w:cs="方正仿宋_GB2312"/>
          <w:color w:val="auto"/>
          <w:sz w:val="28"/>
          <w:szCs w:val="28"/>
          <w:lang w:val="en-US" w:eastAsia="zh-CN"/>
        </w:rPr>
        <w:t>无此项支出。</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六、部门整体支出绩效情况</w:t>
      </w:r>
    </w:p>
    <w:p>
      <w:pPr>
        <w:keepNext w:val="0"/>
        <w:keepLines w:val="0"/>
        <w:pageBreakBefore w:val="0"/>
        <w:widowControl/>
        <w:kinsoku/>
        <w:wordWrap/>
        <w:overflowPunct/>
        <w:topLinePunct w:val="0"/>
        <w:autoSpaceDE/>
        <w:autoSpaceDN/>
        <w:bidi w:val="0"/>
        <w:adjustRightInd/>
        <w:snapToGrid/>
        <w:spacing w:line="400" w:lineRule="exact"/>
        <w:ind w:firstLine="560" w:firstLineChars="200"/>
        <w:jc w:val="left"/>
        <w:textAlignment w:val="auto"/>
        <w:rPr>
          <w:rFonts w:hint="default" w:ascii="方正仿宋_GB2312" w:hAnsi="方正仿宋_GB2312" w:eastAsia="方正仿宋_GB2312" w:cs="方正仿宋_GB2312"/>
          <w:color w:val="auto"/>
          <w:sz w:val="28"/>
          <w:szCs w:val="28"/>
          <w:lang w:val="en-US" w:eastAsia="zh-CN"/>
        </w:rPr>
      </w:pPr>
      <w:r>
        <w:rPr>
          <w:rFonts w:hint="default" w:ascii="方正仿宋_GB2312" w:hAnsi="方正仿宋_GB2312" w:eastAsia="方正仿宋_GB2312" w:cs="方正仿宋_GB2312"/>
          <w:color w:val="auto"/>
          <w:sz w:val="28"/>
          <w:szCs w:val="28"/>
          <w:lang w:val="en-US" w:eastAsia="zh-CN"/>
        </w:rPr>
        <w:t>202</w:t>
      </w:r>
      <w:r>
        <w:rPr>
          <w:rFonts w:hint="eastAsia" w:ascii="方正仿宋_GB2312" w:hAnsi="方正仿宋_GB2312" w:eastAsia="方正仿宋_GB2312" w:cs="方正仿宋_GB2312"/>
          <w:color w:val="auto"/>
          <w:sz w:val="28"/>
          <w:szCs w:val="28"/>
          <w:lang w:val="en-US" w:eastAsia="zh-CN"/>
        </w:rPr>
        <w:t>3</w:t>
      </w:r>
      <w:r>
        <w:rPr>
          <w:rFonts w:hint="default" w:ascii="方正仿宋_GB2312" w:hAnsi="方正仿宋_GB2312" w:eastAsia="方正仿宋_GB2312" w:cs="方正仿宋_GB2312"/>
          <w:color w:val="auto"/>
          <w:sz w:val="28"/>
          <w:szCs w:val="28"/>
          <w:lang w:val="en-US" w:eastAsia="zh-CN"/>
        </w:rPr>
        <w:t>年</w:t>
      </w:r>
      <w:r>
        <w:rPr>
          <w:rFonts w:hint="eastAsia" w:ascii="方正仿宋_GB2312" w:hAnsi="方正仿宋_GB2312" w:eastAsia="方正仿宋_GB2312" w:cs="方正仿宋_GB2312"/>
          <w:color w:val="auto"/>
          <w:sz w:val="28"/>
          <w:szCs w:val="28"/>
          <w:lang w:val="en-US" w:eastAsia="zh-CN"/>
        </w:rPr>
        <w:t>，区纪委（区监委）严格执行</w:t>
      </w:r>
      <w:r>
        <w:rPr>
          <w:rFonts w:hint="default" w:ascii="方正仿宋_GB2312" w:hAnsi="方正仿宋_GB2312" w:eastAsia="方正仿宋_GB2312" w:cs="方正仿宋_GB2312"/>
          <w:color w:val="auto"/>
          <w:sz w:val="28"/>
          <w:szCs w:val="28"/>
          <w:lang w:val="en-US" w:eastAsia="zh-CN"/>
        </w:rPr>
        <w:t>财务管理规范，</w:t>
      </w:r>
      <w:r>
        <w:rPr>
          <w:rFonts w:hint="eastAsia" w:ascii="方正仿宋_GB2312" w:hAnsi="方正仿宋_GB2312" w:eastAsia="方正仿宋_GB2312" w:cs="方正仿宋_GB2312"/>
          <w:color w:val="auto"/>
          <w:sz w:val="28"/>
          <w:szCs w:val="28"/>
          <w:lang w:val="en-US" w:eastAsia="zh-CN"/>
        </w:rPr>
        <w:t>认真履行</w:t>
      </w:r>
      <w:r>
        <w:rPr>
          <w:rFonts w:hint="default" w:ascii="方正仿宋_GB2312" w:hAnsi="方正仿宋_GB2312" w:eastAsia="方正仿宋_GB2312" w:cs="方正仿宋_GB2312"/>
          <w:color w:val="auto"/>
          <w:sz w:val="28"/>
          <w:szCs w:val="28"/>
          <w:lang w:val="en-US" w:eastAsia="zh-CN"/>
        </w:rPr>
        <w:t>各项工作</w:t>
      </w:r>
      <w:r>
        <w:rPr>
          <w:rFonts w:hint="eastAsia" w:ascii="方正仿宋_GB2312" w:hAnsi="方正仿宋_GB2312" w:eastAsia="方正仿宋_GB2312" w:cs="方正仿宋_GB2312"/>
          <w:color w:val="auto"/>
          <w:sz w:val="28"/>
          <w:szCs w:val="28"/>
          <w:lang w:val="en-US" w:eastAsia="zh-CN"/>
        </w:rPr>
        <w:t>职责</w:t>
      </w:r>
      <w:r>
        <w:rPr>
          <w:rFonts w:hint="default" w:ascii="方正仿宋_GB2312" w:hAnsi="方正仿宋_GB2312" w:eastAsia="方正仿宋_GB2312" w:cs="方正仿宋_GB2312"/>
          <w:color w:val="auto"/>
          <w:sz w:val="28"/>
          <w:szCs w:val="28"/>
          <w:lang w:val="en-US" w:eastAsia="zh-CN"/>
        </w:rPr>
        <w:t>，单位行政运行稳定有序</w:t>
      </w:r>
      <w:r>
        <w:rPr>
          <w:rFonts w:hint="eastAsia" w:ascii="方正仿宋_GB2312" w:hAnsi="方正仿宋_GB2312" w:eastAsia="方正仿宋_GB2312" w:cs="方正仿宋_GB2312"/>
          <w:color w:val="auto"/>
          <w:sz w:val="28"/>
          <w:szCs w:val="28"/>
          <w:lang w:val="en-US" w:eastAsia="zh-CN"/>
        </w:rPr>
        <w:t>，部门整体支出绩效自评得分99分。</w:t>
      </w:r>
    </w:p>
    <w:p>
      <w:pPr>
        <w:keepNext w:val="0"/>
        <w:keepLines w:val="0"/>
        <w:pageBreakBefore w:val="0"/>
        <w:widowControl/>
        <w:kinsoku/>
        <w:wordWrap/>
        <w:overflowPunct/>
        <w:topLinePunct w:val="0"/>
        <w:autoSpaceDE/>
        <w:autoSpaceDN/>
        <w:bidi w:val="0"/>
        <w:adjustRightInd/>
        <w:snapToGrid/>
        <w:spacing w:line="460" w:lineRule="exact"/>
        <w:ind w:firstLine="562" w:firstLineChars="200"/>
        <w:jc w:val="left"/>
        <w:textAlignment w:val="auto"/>
        <w:rPr>
          <w:rFonts w:hint="eastAsia" w:ascii="Times New Roman" w:hAnsi="Times New Roman" w:eastAsia="楷体_GB2312" w:cs="Times New Roman"/>
          <w:b/>
          <w:kern w:val="0"/>
          <w:sz w:val="28"/>
          <w:szCs w:val="28"/>
          <w:highlight w:val="none"/>
          <w:lang w:val="en-US" w:eastAsia="zh-CN" w:bidi="ar-SA"/>
        </w:rPr>
      </w:pPr>
      <w:r>
        <w:rPr>
          <w:rFonts w:hint="eastAsia" w:ascii="Times New Roman" w:hAnsi="Times New Roman" w:eastAsia="楷体_GB2312" w:cs="Times New Roman"/>
          <w:b/>
          <w:kern w:val="0"/>
          <w:sz w:val="28"/>
          <w:szCs w:val="28"/>
          <w:highlight w:val="none"/>
          <w:lang w:val="en-US" w:eastAsia="zh-CN" w:bidi="ar-SA"/>
        </w:rPr>
        <w:t>（一）部门整体支出情况分析</w:t>
      </w:r>
    </w:p>
    <w:p>
      <w:pPr>
        <w:keepNext w:val="0"/>
        <w:keepLines w:val="0"/>
        <w:pageBreakBefore w:val="0"/>
        <w:widowControl/>
        <w:kinsoku/>
        <w:wordWrap/>
        <w:overflowPunct/>
        <w:topLinePunct w:val="0"/>
        <w:autoSpaceDE/>
        <w:autoSpaceDN/>
        <w:bidi w:val="0"/>
        <w:adjustRightInd/>
        <w:snapToGrid/>
        <w:spacing w:line="400" w:lineRule="exact"/>
        <w:ind w:firstLine="560" w:firstLineChars="200"/>
        <w:jc w:val="left"/>
        <w:textAlignment w:val="auto"/>
        <w:rPr>
          <w:rFonts w:hint="eastAsia" w:ascii="方正仿宋_GB2312" w:hAnsi="方正仿宋_GB2312" w:eastAsia="方正仿宋_GB2312" w:cs="方正仿宋_GB2312"/>
          <w:color w:val="auto"/>
          <w:sz w:val="28"/>
          <w:szCs w:val="28"/>
          <w:lang w:val="en-US" w:eastAsia="zh-CN"/>
        </w:rPr>
      </w:pPr>
      <w:r>
        <w:rPr>
          <w:rFonts w:hint="eastAsia" w:ascii="方正仿宋_GB2312" w:hAnsi="方正仿宋_GB2312" w:eastAsia="方正仿宋_GB2312" w:cs="方正仿宋_GB2312"/>
          <w:color w:val="auto"/>
          <w:sz w:val="28"/>
          <w:szCs w:val="28"/>
          <w:lang w:val="en-US" w:eastAsia="zh-CN"/>
        </w:rPr>
        <w:t>本年整体支出总计为1170.1万元。其中基本支出1047.82万元，占本年整体支出的89.55 %，人员经费支出696.17万元，占基本支出的66.44%，公用经费支出351.65万元，占基本支出的33.56%；项目支出122.28万元，占本年整体支出的10.45 %。</w:t>
      </w:r>
    </w:p>
    <w:p>
      <w:pPr>
        <w:keepNext w:val="0"/>
        <w:keepLines w:val="0"/>
        <w:pageBreakBefore w:val="0"/>
        <w:widowControl/>
        <w:kinsoku/>
        <w:wordWrap/>
        <w:overflowPunct/>
        <w:topLinePunct w:val="0"/>
        <w:autoSpaceDE/>
        <w:autoSpaceDN/>
        <w:bidi w:val="0"/>
        <w:adjustRightInd/>
        <w:snapToGrid/>
        <w:spacing w:line="460" w:lineRule="exact"/>
        <w:ind w:firstLine="562" w:firstLineChars="200"/>
        <w:jc w:val="left"/>
        <w:textAlignment w:val="auto"/>
        <w:rPr>
          <w:rFonts w:hint="default" w:ascii="Times New Roman" w:hAnsi="Times New Roman" w:eastAsia="楷体_GB2312" w:cs="Times New Roman"/>
          <w:b/>
          <w:kern w:val="0"/>
          <w:sz w:val="28"/>
          <w:szCs w:val="28"/>
          <w:highlight w:val="none"/>
          <w:lang w:val="en-US" w:eastAsia="zh-CN" w:bidi="ar-SA"/>
        </w:rPr>
      </w:pPr>
      <w:r>
        <w:rPr>
          <w:rFonts w:hint="eastAsia" w:ascii="Times New Roman" w:hAnsi="Times New Roman" w:eastAsia="楷体_GB2312" w:cs="Times New Roman"/>
          <w:b/>
          <w:kern w:val="0"/>
          <w:sz w:val="28"/>
          <w:szCs w:val="28"/>
          <w:highlight w:val="none"/>
          <w:lang w:val="en-US" w:eastAsia="zh-CN" w:bidi="ar-SA"/>
        </w:rPr>
        <w:t>（二）预算财务管理情况分析</w:t>
      </w:r>
    </w:p>
    <w:p>
      <w:pPr>
        <w:keepNext w:val="0"/>
        <w:keepLines w:val="0"/>
        <w:pageBreakBefore w:val="0"/>
        <w:widowControl/>
        <w:kinsoku/>
        <w:wordWrap/>
        <w:overflowPunct/>
        <w:topLinePunct w:val="0"/>
        <w:autoSpaceDE/>
        <w:autoSpaceDN/>
        <w:bidi w:val="0"/>
        <w:adjustRightInd/>
        <w:snapToGrid/>
        <w:spacing w:line="400" w:lineRule="exact"/>
        <w:ind w:firstLine="560" w:firstLineChars="200"/>
        <w:jc w:val="left"/>
        <w:textAlignment w:val="auto"/>
        <w:rPr>
          <w:rFonts w:hint="default" w:ascii="方正仿宋_GB2312" w:hAnsi="方正仿宋_GB2312" w:eastAsia="方正仿宋_GB2312" w:cs="方正仿宋_GB2312"/>
          <w:color w:val="auto"/>
          <w:sz w:val="28"/>
          <w:szCs w:val="28"/>
          <w:lang w:val="en-US" w:eastAsia="zh-CN"/>
        </w:rPr>
      </w:pPr>
      <w:r>
        <w:rPr>
          <w:rFonts w:hint="default" w:ascii="方正仿宋_GB2312" w:hAnsi="方正仿宋_GB2312" w:eastAsia="方正仿宋_GB2312" w:cs="方正仿宋_GB2312"/>
          <w:color w:val="auto"/>
          <w:sz w:val="28"/>
          <w:szCs w:val="28"/>
          <w:lang w:val="en-US" w:eastAsia="zh-CN"/>
        </w:rPr>
        <w:t>202</w:t>
      </w:r>
      <w:r>
        <w:rPr>
          <w:rFonts w:hint="eastAsia" w:ascii="方正仿宋_GB2312" w:hAnsi="方正仿宋_GB2312" w:eastAsia="方正仿宋_GB2312" w:cs="方正仿宋_GB2312"/>
          <w:color w:val="auto"/>
          <w:sz w:val="28"/>
          <w:szCs w:val="28"/>
          <w:lang w:val="en-US" w:eastAsia="zh-CN"/>
        </w:rPr>
        <w:t>3</w:t>
      </w:r>
      <w:r>
        <w:rPr>
          <w:rFonts w:hint="default" w:ascii="方正仿宋_GB2312" w:hAnsi="方正仿宋_GB2312" w:eastAsia="方正仿宋_GB2312" w:cs="方正仿宋_GB2312"/>
          <w:color w:val="auto"/>
          <w:sz w:val="28"/>
          <w:szCs w:val="28"/>
          <w:lang w:val="en-US" w:eastAsia="zh-CN"/>
        </w:rPr>
        <w:t>年</w:t>
      </w:r>
      <w:r>
        <w:rPr>
          <w:rFonts w:hint="eastAsia" w:ascii="方正仿宋_GB2312" w:hAnsi="方正仿宋_GB2312" w:eastAsia="方正仿宋_GB2312" w:cs="方正仿宋_GB2312"/>
          <w:color w:val="auto"/>
          <w:sz w:val="28"/>
          <w:szCs w:val="28"/>
          <w:lang w:val="en-US" w:eastAsia="zh-CN"/>
        </w:rPr>
        <w:t>，</w:t>
      </w:r>
      <w:r>
        <w:rPr>
          <w:rFonts w:hint="default" w:ascii="方正仿宋_GB2312" w:hAnsi="方正仿宋_GB2312" w:eastAsia="方正仿宋_GB2312" w:cs="方正仿宋_GB2312"/>
          <w:color w:val="auto"/>
          <w:sz w:val="28"/>
          <w:szCs w:val="28"/>
          <w:lang w:val="en-US" w:eastAsia="zh-CN"/>
        </w:rPr>
        <w:t>严格遵守</w:t>
      </w:r>
      <w:r>
        <w:rPr>
          <w:rFonts w:hint="eastAsia" w:ascii="方正仿宋_GB2312" w:hAnsi="方正仿宋_GB2312" w:eastAsia="方正仿宋_GB2312" w:cs="方正仿宋_GB2312"/>
          <w:color w:val="auto"/>
          <w:sz w:val="28"/>
          <w:szCs w:val="28"/>
          <w:lang w:val="en-US" w:eastAsia="zh-CN"/>
        </w:rPr>
        <w:t>财务管理</w:t>
      </w:r>
      <w:r>
        <w:rPr>
          <w:rFonts w:hint="default" w:ascii="方正仿宋_GB2312" w:hAnsi="方正仿宋_GB2312" w:eastAsia="方正仿宋_GB2312" w:cs="方正仿宋_GB2312"/>
          <w:color w:val="auto"/>
          <w:sz w:val="28"/>
          <w:szCs w:val="28"/>
          <w:lang w:val="en-US" w:eastAsia="zh-CN"/>
        </w:rPr>
        <w:t>制度，</w:t>
      </w:r>
      <w:r>
        <w:rPr>
          <w:rFonts w:hint="eastAsia" w:ascii="方正仿宋_GB2312" w:hAnsi="方正仿宋_GB2312" w:eastAsia="方正仿宋_GB2312" w:cs="方正仿宋_GB2312"/>
          <w:color w:val="auto"/>
          <w:sz w:val="28"/>
          <w:szCs w:val="28"/>
          <w:lang w:val="en-US" w:eastAsia="zh-CN"/>
        </w:rPr>
        <w:t>科学、合理编制预算，认真履行费用报销程序，切实</w:t>
      </w:r>
      <w:r>
        <w:rPr>
          <w:rFonts w:hint="default" w:ascii="方正仿宋_GB2312" w:hAnsi="方正仿宋_GB2312" w:eastAsia="方正仿宋_GB2312" w:cs="方正仿宋_GB2312"/>
          <w:color w:val="auto"/>
          <w:sz w:val="28"/>
          <w:szCs w:val="28"/>
          <w:lang w:val="en-US" w:eastAsia="zh-CN"/>
        </w:rPr>
        <w:t>加强经费支出的监督管理</w:t>
      </w:r>
      <w:r>
        <w:rPr>
          <w:rFonts w:hint="eastAsia" w:ascii="方正仿宋_GB2312" w:hAnsi="方正仿宋_GB2312" w:eastAsia="方正仿宋_GB2312" w:cs="方正仿宋_GB2312"/>
          <w:color w:val="auto"/>
          <w:sz w:val="28"/>
          <w:szCs w:val="28"/>
          <w:lang w:val="en-US" w:eastAsia="zh-CN"/>
        </w:rPr>
        <w:t>，</w:t>
      </w:r>
      <w:r>
        <w:rPr>
          <w:rFonts w:hint="default" w:ascii="方正仿宋_GB2312" w:hAnsi="方正仿宋_GB2312" w:eastAsia="方正仿宋_GB2312" w:cs="方正仿宋_GB2312"/>
          <w:color w:val="auto"/>
          <w:sz w:val="28"/>
          <w:szCs w:val="28"/>
          <w:lang w:val="en-US" w:eastAsia="zh-CN"/>
        </w:rPr>
        <w:t>重大财务事项经由集体研究决策</w:t>
      </w:r>
      <w:r>
        <w:rPr>
          <w:rFonts w:hint="eastAsia" w:ascii="方正仿宋_GB2312" w:hAnsi="方正仿宋_GB2312" w:eastAsia="方正仿宋_GB2312" w:cs="方正仿宋_GB2312"/>
          <w:color w:val="auto"/>
          <w:sz w:val="28"/>
          <w:szCs w:val="28"/>
          <w:lang w:val="en-US" w:eastAsia="zh-CN"/>
        </w:rPr>
        <w:t>，</w:t>
      </w:r>
      <w:r>
        <w:rPr>
          <w:rFonts w:hint="default" w:ascii="方正仿宋_GB2312" w:hAnsi="方正仿宋_GB2312" w:eastAsia="方正仿宋_GB2312" w:cs="方正仿宋_GB2312"/>
          <w:color w:val="auto"/>
          <w:sz w:val="28"/>
          <w:szCs w:val="28"/>
          <w:lang w:val="en-US" w:eastAsia="zh-CN"/>
        </w:rPr>
        <w:t>资金使用没有截留、挪用、虚列支出、随意借用等情况。部门预决算信息按规定内容，在规定的时限内予以公开。基础数据信息和会计信息资料真实、完整、准确。</w:t>
      </w:r>
    </w:p>
    <w:p>
      <w:pPr>
        <w:keepNext w:val="0"/>
        <w:keepLines w:val="0"/>
        <w:pageBreakBefore w:val="0"/>
        <w:widowControl/>
        <w:kinsoku/>
        <w:wordWrap/>
        <w:overflowPunct/>
        <w:topLinePunct w:val="0"/>
        <w:autoSpaceDE/>
        <w:autoSpaceDN/>
        <w:bidi w:val="0"/>
        <w:adjustRightInd/>
        <w:snapToGrid/>
        <w:spacing w:line="460" w:lineRule="exact"/>
        <w:ind w:firstLine="562" w:firstLineChars="200"/>
        <w:jc w:val="left"/>
        <w:textAlignment w:val="auto"/>
        <w:rPr>
          <w:rFonts w:hint="eastAsia" w:ascii="Times New Roman" w:hAnsi="Times New Roman" w:eastAsia="楷体_GB2312" w:cs="Times New Roman"/>
          <w:b/>
          <w:kern w:val="0"/>
          <w:sz w:val="28"/>
          <w:szCs w:val="28"/>
          <w:highlight w:val="none"/>
          <w:lang w:val="en-US" w:eastAsia="zh-CN" w:bidi="ar-SA"/>
        </w:rPr>
      </w:pPr>
      <w:r>
        <w:rPr>
          <w:rFonts w:hint="eastAsia" w:ascii="Times New Roman" w:hAnsi="Times New Roman" w:eastAsia="楷体_GB2312" w:cs="Times New Roman"/>
          <w:b/>
          <w:kern w:val="0"/>
          <w:sz w:val="28"/>
          <w:szCs w:val="28"/>
          <w:highlight w:val="none"/>
          <w:lang w:val="en-US" w:eastAsia="zh-CN" w:bidi="ar-SA"/>
        </w:rPr>
        <w:t>（三）固定资产管理情况分析</w:t>
      </w:r>
    </w:p>
    <w:p>
      <w:pPr>
        <w:keepNext w:val="0"/>
        <w:keepLines w:val="0"/>
        <w:pageBreakBefore w:val="0"/>
        <w:widowControl/>
        <w:kinsoku/>
        <w:wordWrap/>
        <w:overflowPunct/>
        <w:topLinePunct w:val="0"/>
        <w:autoSpaceDE/>
        <w:autoSpaceDN/>
        <w:bidi w:val="0"/>
        <w:adjustRightInd/>
        <w:snapToGrid/>
        <w:spacing w:line="400" w:lineRule="exact"/>
        <w:ind w:firstLine="560" w:firstLineChars="200"/>
        <w:jc w:val="left"/>
        <w:textAlignment w:val="auto"/>
        <w:rPr>
          <w:rFonts w:hint="eastAsia" w:ascii="方正仿宋_GB2312" w:hAnsi="方正仿宋_GB2312" w:eastAsia="方正仿宋_GB2312" w:cs="方正仿宋_GB2312"/>
          <w:color w:val="auto"/>
          <w:sz w:val="28"/>
          <w:szCs w:val="28"/>
          <w:lang w:val="en-US" w:eastAsia="zh-CN"/>
        </w:rPr>
      </w:pPr>
      <w:r>
        <w:rPr>
          <w:rFonts w:hint="eastAsia" w:ascii="方正仿宋_GB2312" w:hAnsi="方正仿宋_GB2312" w:eastAsia="方正仿宋_GB2312" w:cs="方正仿宋_GB2312"/>
          <w:color w:val="auto"/>
          <w:sz w:val="28"/>
          <w:szCs w:val="28"/>
          <w:lang w:val="en-US" w:eastAsia="zh-CN"/>
        </w:rPr>
        <w:t>本单位对固定资产实行统一管理，2023年末固定资产合计215.95万元，全为在用固定资产。</w:t>
      </w:r>
    </w:p>
    <w:p>
      <w:pPr>
        <w:keepNext w:val="0"/>
        <w:keepLines w:val="0"/>
        <w:pageBreakBefore w:val="0"/>
        <w:widowControl/>
        <w:kinsoku/>
        <w:wordWrap/>
        <w:overflowPunct/>
        <w:topLinePunct w:val="0"/>
        <w:autoSpaceDE/>
        <w:autoSpaceDN/>
        <w:bidi w:val="0"/>
        <w:adjustRightInd/>
        <w:snapToGrid/>
        <w:spacing w:line="460" w:lineRule="exact"/>
        <w:ind w:firstLine="562" w:firstLineChars="200"/>
        <w:jc w:val="left"/>
        <w:textAlignment w:val="auto"/>
        <w:rPr>
          <w:rFonts w:hint="default" w:ascii="Times New Roman" w:hAnsi="Times New Roman" w:eastAsia="楷体_GB2312" w:cs="Times New Roman"/>
          <w:b/>
          <w:kern w:val="0"/>
          <w:sz w:val="28"/>
          <w:szCs w:val="28"/>
          <w:highlight w:val="none"/>
          <w:lang w:val="en-US" w:eastAsia="zh-CN" w:bidi="ar-SA"/>
        </w:rPr>
      </w:pPr>
      <w:r>
        <w:rPr>
          <w:rFonts w:hint="eastAsia" w:ascii="Times New Roman" w:hAnsi="Times New Roman" w:eastAsia="楷体_GB2312" w:cs="Times New Roman"/>
          <w:b/>
          <w:kern w:val="0"/>
          <w:sz w:val="28"/>
          <w:szCs w:val="28"/>
          <w:highlight w:val="none"/>
          <w:lang w:val="en-US" w:eastAsia="zh-CN" w:bidi="ar-SA"/>
        </w:rPr>
        <w:t>（四）履职产出效益方面</w:t>
      </w:r>
    </w:p>
    <w:p>
      <w:pPr>
        <w:keepNext w:val="0"/>
        <w:keepLines w:val="0"/>
        <w:pageBreakBefore w:val="0"/>
        <w:widowControl/>
        <w:kinsoku/>
        <w:wordWrap/>
        <w:overflowPunct/>
        <w:topLinePunct w:val="0"/>
        <w:autoSpaceDE/>
        <w:autoSpaceDN/>
        <w:bidi w:val="0"/>
        <w:adjustRightInd/>
        <w:snapToGrid/>
        <w:spacing w:line="460" w:lineRule="exact"/>
        <w:ind w:firstLine="560" w:firstLineChars="200"/>
        <w:jc w:val="left"/>
        <w:textAlignment w:val="auto"/>
        <w:rPr>
          <w:rFonts w:hint="eastAsia" w:ascii="方正仿宋_GB2312" w:hAnsi="方正仿宋_GB2312" w:eastAsia="方正仿宋_GB2312" w:cs="方正仿宋_GB2312"/>
          <w:color w:val="000000"/>
          <w:sz w:val="28"/>
          <w:szCs w:val="28"/>
          <w:lang w:val="en-US" w:eastAsia="zh-CN"/>
        </w:rPr>
      </w:pPr>
      <w:r>
        <w:rPr>
          <w:rFonts w:hint="default" w:ascii="方正仿宋_GB2312" w:hAnsi="方正仿宋_GB2312" w:eastAsia="方正仿宋_GB2312" w:cs="方正仿宋_GB2312"/>
          <w:color w:val="000000"/>
          <w:sz w:val="28"/>
          <w:szCs w:val="28"/>
          <w:lang w:val="en-US" w:eastAsia="zh-CN"/>
        </w:rPr>
        <w:t>202</w:t>
      </w:r>
      <w:r>
        <w:rPr>
          <w:rFonts w:hint="eastAsia" w:ascii="方正仿宋_GB2312" w:hAnsi="方正仿宋_GB2312" w:eastAsia="方正仿宋_GB2312" w:cs="方正仿宋_GB2312"/>
          <w:color w:val="000000"/>
          <w:sz w:val="28"/>
          <w:szCs w:val="28"/>
          <w:lang w:val="en-US" w:eastAsia="zh-CN"/>
        </w:rPr>
        <w:t>3</w:t>
      </w:r>
      <w:r>
        <w:rPr>
          <w:rFonts w:hint="default" w:ascii="方正仿宋_GB2312" w:hAnsi="方正仿宋_GB2312" w:eastAsia="方正仿宋_GB2312" w:cs="方正仿宋_GB2312"/>
          <w:color w:val="000000"/>
          <w:sz w:val="28"/>
          <w:szCs w:val="28"/>
          <w:lang w:val="en-US" w:eastAsia="zh-CN"/>
        </w:rPr>
        <w:t>年</w:t>
      </w:r>
      <w:r>
        <w:rPr>
          <w:rFonts w:hint="eastAsia" w:ascii="方正仿宋_GB2312" w:hAnsi="方正仿宋_GB2312" w:eastAsia="方正仿宋_GB2312" w:cs="方正仿宋_GB2312"/>
          <w:color w:val="000000"/>
          <w:sz w:val="28"/>
          <w:szCs w:val="28"/>
          <w:lang w:val="en-US" w:eastAsia="zh-CN"/>
        </w:rPr>
        <w:t>，</w:t>
      </w:r>
      <w:r>
        <w:rPr>
          <w:rFonts w:hint="eastAsia" w:ascii="方正仿宋_GB2312" w:hAnsi="方正仿宋_GB2312" w:eastAsia="方正仿宋_GB2312" w:cs="方正仿宋_GB2312"/>
          <w:color w:val="auto"/>
          <w:sz w:val="28"/>
          <w:szCs w:val="28"/>
          <w:lang w:val="en-US" w:eastAsia="zh-CN"/>
        </w:rPr>
        <w:t>区纪委（区监委）</w:t>
      </w:r>
      <w:r>
        <w:rPr>
          <w:rFonts w:hint="default" w:ascii="方正仿宋_GB2312" w:hAnsi="方正仿宋_GB2312" w:eastAsia="方正仿宋_GB2312" w:cs="方正仿宋_GB2312"/>
          <w:color w:val="000000"/>
          <w:sz w:val="28"/>
          <w:szCs w:val="28"/>
          <w:lang w:val="en-US" w:eastAsia="zh-CN"/>
        </w:rPr>
        <w:t>认真履行</w:t>
      </w:r>
      <w:r>
        <w:rPr>
          <w:rFonts w:hint="eastAsia" w:ascii="方正仿宋_GB2312" w:hAnsi="方正仿宋_GB2312" w:eastAsia="方正仿宋_GB2312" w:cs="方正仿宋_GB2312"/>
          <w:color w:val="000000"/>
          <w:sz w:val="28"/>
          <w:szCs w:val="28"/>
          <w:lang w:val="en-US" w:eastAsia="zh-CN"/>
        </w:rPr>
        <w:t>部门职责</w:t>
      </w:r>
      <w:r>
        <w:rPr>
          <w:rFonts w:hint="default" w:ascii="方正仿宋_GB2312" w:hAnsi="方正仿宋_GB2312" w:eastAsia="方正仿宋_GB2312" w:cs="方正仿宋_GB2312"/>
          <w:color w:val="000000"/>
          <w:sz w:val="28"/>
          <w:szCs w:val="28"/>
          <w:lang w:val="en-US" w:eastAsia="zh-CN"/>
        </w:rPr>
        <w:t>，</w:t>
      </w:r>
      <w:r>
        <w:rPr>
          <w:rFonts w:hint="eastAsia" w:ascii="方正仿宋_GB2312" w:hAnsi="方正仿宋_GB2312" w:eastAsia="方正仿宋_GB2312" w:cs="方正仿宋_GB2312"/>
          <w:color w:val="000000"/>
          <w:sz w:val="28"/>
          <w:szCs w:val="28"/>
          <w:lang w:val="en-US" w:eastAsia="zh-CN"/>
        </w:rPr>
        <w:t>履职情况如下：</w:t>
      </w:r>
    </w:p>
    <w:p>
      <w:pPr>
        <w:keepNext w:val="0"/>
        <w:keepLines w:val="0"/>
        <w:pageBreakBefore w:val="0"/>
        <w:widowControl/>
        <w:kinsoku/>
        <w:wordWrap/>
        <w:overflowPunct/>
        <w:topLinePunct w:val="0"/>
        <w:autoSpaceDE/>
        <w:autoSpaceDN/>
        <w:bidi w:val="0"/>
        <w:adjustRightInd/>
        <w:snapToGrid/>
        <w:spacing w:line="400" w:lineRule="exact"/>
        <w:ind w:firstLine="560" w:firstLineChars="200"/>
        <w:jc w:val="left"/>
        <w:textAlignment w:val="auto"/>
        <w:rPr>
          <w:rFonts w:hint="eastAsia" w:ascii="方正仿宋_GB2312" w:hAnsi="方正仿宋_GB2312" w:eastAsia="方正仿宋_GB2312" w:cs="方正仿宋_GB2312"/>
          <w:color w:val="auto"/>
          <w:sz w:val="28"/>
          <w:szCs w:val="28"/>
          <w:lang w:val="en-US" w:eastAsia="zh-CN"/>
        </w:rPr>
      </w:pPr>
      <w:r>
        <w:rPr>
          <w:rFonts w:hint="eastAsia" w:ascii="方正仿宋_GB2312" w:hAnsi="方正仿宋_GB2312" w:eastAsia="方正仿宋_GB2312" w:cs="方正仿宋_GB2312"/>
          <w:color w:val="auto"/>
          <w:sz w:val="28"/>
          <w:szCs w:val="28"/>
          <w:lang w:val="en-US" w:eastAsia="zh-CN"/>
        </w:rPr>
        <w:t>1.践行“两个维护”，抓牢政治监督。将学习宣传贯彻党的二十大精神情况作为日常监督和巡察重点内容，开展专项检查5轮，发现和督促整改问题15个，推动各级党组织和党员干部全面把握精神实质，学到精髓、谋实思路、扎实工作。持续深入开展“洞庭清波”专项行动，聚焦4•25五周年系列活动加强监督检查，开展护航渔民上岸专项监督，处理处分5人，2023年全区13个整改问题已全部销号。认真抓好“三湘护农”专项行动，督促全区75个村（社区）整改集体“三资”管理问题3175个、涉农项目资金管理问题16个、非农化问题图斑16个，清查经营田面积8572亩，全区新增经营田面积达1万余亩。</w:t>
      </w:r>
    </w:p>
    <w:p>
      <w:pPr>
        <w:keepNext w:val="0"/>
        <w:keepLines w:val="0"/>
        <w:pageBreakBefore w:val="0"/>
        <w:widowControl/>
        <w:kinsoku/>
        <w:wordWrap/>
        <w:overflowPunct/>
        <w:topLinePunct w:val="0"/>
        <w:autoSpaceDE/>
        <w:autoSpaceDN/>
        <w:bidi w:val="0"/>
        <w:adjustRightInd/>
        <w:snapToGrid/>
        <w:spacing w:line="400" w:lineRule="exact"/>
        <w:ind w:firstLine="560" w:firstLineChars="200"/>
        <w:jc w:val="left"/>
        <w:textAlignment w:val="auto"/>
        <w:rPr>
          <w:rFonts w:hint="eastAsia" w:ascii="方正仿宋_GB2312" w:hAnsi="方正仿宋_GB2312" w:eastAsia="方正仿宋_GB2312" w:cs="方正仿宋_GB2312"/>
          <w:color w:val="auto"/>
          <w:sz w:val="28"/>
          <w:szCs w:val="28"/>
          <w:lang w:val="en-US" w:eastAsia="zh-CN"/>
        </w:rPr>
      </w:pPr>
      <w:r>
        <w:rPr>
          <w:rFonts w:hint="eastAsia" w:ascii="方正仿宋_GB2312" w:hAnsi="方正仿宋_GB2312" w:eastAsia="方正仿宋_GB2312" w:cs="方正仿宋_GB2312"/>
          <w:color w:val="auto"/>
          <w:sz w:val="28"/>
          <w:szCs w:val="28"/>
          <w:lang w:val="en-US" w:eastAsia="zh-CN"/>
        </w:rPr>
        <w:t>2.紧盯“四风”顽疾，推进专项整治。</w:t>
      </w:r>
      <w:bookmarkStart w:id="0" w:name="_Hlk126685641"/>
      <w:r>
        <w:rPr>
          <w:rFonts w:hint="eastAsia" w:ascii="方正仿宋_GB2312" w:hAnsi="方正仿宋_GB2312" w:eastAsia="方正仿宋_GB2312" w:cs="方正仿宋_GB2312"/>
          <w:color w:val="auto"/>
          <w:sz w:val="28"/>
          <w:szCs w:val="28"/>
          <w:lang w:val="en-US" w:eastAsia="zh-CN"/>
        </w:rPr>
        <w:t>启动纠“四风”、扬“五敢”、提“六气”作风建设年活动</w:t>
      </w:r>
      <w:bookmarkEnd w:id="0"/>
      <w:r>
        <w:rPr>
          <w:rFonts w:hint="eastAsia" w:ascii="方正仿宋_GB2312" w:hAnsi="方正仿宋_GB2312" w:eastAsia="方正仿宋_GB2312" w:cs="方正仿宋_GB2312"/>
          <w:color w:val="auto"/>
          <w:sz w:val="28"/>
          <w:szCs w:val="28"/>
          <w:lang w:val="en-US" w:eastAsia="zh-CN"/>
        </w:rPr>
        <w:t>，将干部作风与综合绩效、提拔使用挂钩，每月开展一次考核，每季度进行一次约谈，半年评选一次“蜗牛奖”，年底严格考核兑现。2023年以来，通报作风纪律突出问题75个，处理处分65人，约谈单位主要负责人20人次。出台《君山区纪检监察机关推进容错纠错激励干部担当作为若干措施（试行）》，认真做好澄清正名工作，为干部敢为、地方敢闯、企业敢干、群众敢首创提供坚强保障。</w:t>
      </w:r>
    </w:p>
    <w:p>
      <w:pPr>
        <w:keepNext w:val="0"/>
        <w:keepLines w:val="0"/>
        <w:pageBreakBefore w:val="0"/>
        <w:widowControl/>
        <w:kinsoku/>
        <w:wordWrap/>
        <w:overflowPunct/>
        <w:topLinePunct w:val="0"/>
        <w:autoSpaceDE/>
        <w:autoSpaceDN/>
        <w:bidi w:val="0"/>
        <w:adjustRightInd/>
        <w:snapToGrid/>
        <w:spacing w:line="400" w:lineRule="exact"/>
        <w:ind w:firstLine="560" w:firstLineChars="200"/>
        <w:jc w:val="left"/>
        <w:textAlignment w:val="auto"/>
        <w:rPr>
          <w:rFonts w:hint="default" w:ascii="方正仿宋_GB2312" w:hAnsi="方正仿宋_GB2312" w:eastAsia="方正仿宋_GB2312" w:cs="方正仿宋_GB2312"/>
          <w:color w:val="auto"/>
          <w:sz w:val="30"/>
          <w:szCs w:val="30"/>
          <w:lang w:val="en-US" w:eastAsia="zh-CN"/>
        </w:rPr>
      </w:pPr>
      <w:r>
        <w:rPr>
          <w:rFonts w:hint="eastAsia" w:ascii="方正仿宋_GB2312" w:hAnsi="方正仿宋_GB2312" w:eastAsia="方正仿宋_GB2312" w:cs="方正仿宋_GB2312"/>
          <w:color w:val="auto"/>
          <w:sz w:val="28"/>
          <w:szCs w:val="28"/>
          <w:lang w:val="en-US" w:eastAsia="zh-CN"/>
        </w:rPr>
        <w:t>3.一体推进“三不腐”，提升反腐效能。</w:t>
      </w:r>
      <w:r>
        <w:rPr>
          <w:rFonts w:hint="eastAsia" w:ascii="方正仿宋_GB2312" w:hAnsi="方正仿宋_GB2312" w:eastAsia="方正仿宋_GB2312" w:cs="方正仿宋_GB2312"/>
          <w:color w:val="auto"/>
          <w:sz w:val="30"/>
          <w:szCs w:val="30"/>
          <w:lang w:val="en-US" w:eastAsia="zh-CN"/>
        </w:rPr>
        <w:t>2023年以来，立案101件，给予党纪政务处分122人次，办理留置案2起，严肃查处了1起区管干部职务犯罪典型案例。建立完善动态清零、常态惩治机制，坚持案件办理周通报，“红黄绿”三色预警制度，严格落实一般线索3个月办结、重点线索半年办结的要求。严格落实“一案两会”，2023年以来，召开系统性警示教育大会15次，在案发单位召开“一案两会”15次，开展各类警示教育活动17次，教育和引导全体党员干部做到以案为鉴、警钟长鸣。</w:t>
      </w:r>
    </w:p>
    <w:p>
      <w:pPr>
        <w:keepNext w:val="0"/>
        <w:keepLines w:val="0"/>
        <w:pageBreakBefore w:val="0"/>
        <w:widowControl/>
        <w:kinsoku/>
        <w:wordWrap/>
        <w:overflowPunct/>
        <w:topLinePunct w:val="0"/>
        <w:autoSpaceDE/>
        <w:autoSpaceDN/>
        <w:bidi w:val="0"/>
        <w:adjustRightInd/>
        <w:snapToGrid/>
        <w:spacing w:line="400" w:lineRule="exact"/>
        <w:ind w:firstLine="560" w:firstLineChars="200"/>
        <w:jc w:val="left"/>
        <w:textAlignment w:val="auto"/>
        <w:rPr>
          <w:rFonts w:hint="eastAsia" w:ascii="方正仿宋_GB2312" w:hAnsi="方正仿宋_GB2312" w:eastAsia="方正仿宋_GB2312" w:cs="方正仿宋_GB2312"/>
          <w:color w:val="auto"/>
          <w:sz w:val="28"/>
          <w:szCs w:val="28"/>
          <w:lang w:val="en-US" w:eastAsia="zh-CN"/>
        </w:rPr>
      </w:pPr>
      <w:r>
        <w:rPr>
          <w:rFonts w:hint="eastAsia" w:ascii="方正仿宋_GB2312" w:hAnsi="方正仿宋_GB2312" w:eastAsia="方正仿宋_GB2312" w:cs="方正仿宋_GB2312"/>
          <w:color w:val="auto"/>
          <w:sz w:val="28"/>
          <w:szCs w:val="28"/>
          <w:lang w:val="en-US" w:eastAsia="zh-CN"/>
        </w:rPr>
        <w:t>4.强化贯通融合，做实监督专责。出台《关于开展巡回驻点监督工作实施方案（试行）》《派驻机构与驻点单位党组（党委）双向沟通暂行办法（试行）》，对全区各单位，分批次、错时段、有步骤地开展巡回驻点，有效提升派驻监督质效，该经验做法在全市范围推广，并高质量承办了全市派驻机构巡回驻点监督工作现场会。出台《区纪委监委派驻机构与驻在单位党委（党组）全面从严治党专题会商会制度》，推动派驻机构与驻在单位党委（党组）在全面从严治党上同向发力、同频共振。各派驻机构与62个区直部门党组（党委）召开全面从严治党会商会，实现年内两轮全覆盖，指出问题211个，提出意见建议67条，制定整改措施243项。加强年轻干部管理，抓实《君山区加强年轻干部管理“十严禁”（试行）》，举办全区2023年新任及年轻科级领导干部廉政培训班，把党章党规党纪作为重要学习内容，教育引导年轻干部扣好廉洁从政“第一粒扣子”。</w:t>
      </w:r>
    </w:p>
    <w:p>
      <w:pPr>
        <w:keepNext w:val="0"/>
        <w:keepLines w:val="0"/>
        <w:pageBreakBefore w:val="0"/>
        <w:widowControl/>
        <w:kinsoku/>
        <w:wordWrap/>
        <w:overflowPunct/>
        <w:topLinePunct w:val="0"/>
        <w:autoSpaceDE/>
        <w:autoSpaceDN/>
        <w:bidi w:val="0"/>
        <w:adjustRightInd/>
        <w:snapToGrid/>
        <w:spacing w:line="400" w:lineRule="exact"/>
        <w:ind w:firstLine="560" w:firstLineChars="200"/>
        <w:jc w:val="left"/>
        <w:textAlignment w:val="auto"/>
        <w:rPr>
          <w:rFonts w:hint="default" w:ascii="方正仿宋_GB2312" w:hAnsi="方正仿宋_GB2312" w:eastAsia="方正仿宋_GB2312" w:cs="方正仿宋_GB2312"/>
          <w:color w:val="auto"/>
          <w:sz w:val="28"/>
          <w:szCs w:val="28"/>
          <w:lang w:val="en-US" w:eastAsia="zh-CN"/>
        </w:rPr>
      </w:pPr>
      <w:r>
        <w:rPr>
          <w:rFonts w:hint="eastAsia" w:ascii="方正仿宋_GB2312" w:hAnsi="方正仿宋_GB2312" w:eastAsia="方正仿宋_GB2312" w:cs="方正仿宋_GB2312"/>
          <w:color w:val="auto"/>
          <w:sz w:val="28"/>
          <w:szCs w:val="28"/>
          <w:lang w:val="en-US" w:eastAsia="zh-CN"/>
        </w:rPr>
        <w:t>5.深化清廉建设，擦亮君山品牌。抓实落细《推进清廉君山建设2022-2026年工作规划》，对2022年培树的样本进行验收和评选，评选出八个类别12个示范单元。召开全区清廉单元建设推进会，全面铺开清廉单元创建工作，督促各镇（街道）、场重点打造2个以上示范点。组织全区71个单位近4000名党员干部和其他公职人员开展“学纪法、明规矩、践廉洁、担使命”廉政宣传教育月活动，实现纪法普及、廉政党课、警示教育、谈心谈话、述责述廉“五个全覆盖”，全区崇廉倡廉守廉氛围日益浓厚，清廉君山品牌进一步擦亮。同时，大力推进区政务服务中心数字化展厅建设，将岳阳监狱反腐倡廉警示教育基地、区政务服务中心、团湖廉洁文化园串联，精心打造出不敢腐、不能腐、不想腐“三位一体”廉洁文化教育矩阵。</w:t>
      </w:r>
    </w:p>
    <w:p>
      <w:pPr>
        <w:pStyle w:val="8"/>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七、存在的问题及原因分析</w:t>
      </w:r>
    </w:p>
    <w:p>
      <w:pPr>
        <w:keepNext w:val="0"/>
        <w:keepLines w:val="0"/>
        <w:pageBreakBefore w:val="0"/>
        <w:widowControl/>
        <w:kinsoku/>
        <w:wordWrap/>
        <w:overflowPunct/>
        <w:topLinePunct w:val="0"/>
        <w:autoSpaceDE/>
        <w:autoSpaceDN/>
        <w:bidi w:val="0"/>
        <w:adjustRightInd/>
        <w:snapToGrid/>
        <w:spacing w:line="400" w:lineRule="exact"/>
        <w:ind w:firstLine="560" w:firstLineChars="200"/>
        <w:jc w:val="left"/>
        <w:textAlignment w:val="auto"/>
        <w:rPr>
          <w:rFonts w:hint="default" w:ascii="方正仿宋_GB2312" w:hAnsi="方正仿宋_GB2312" w:eastAsia="方正仿宋_GB2312" w:cs="方正仿宋_GB2312"/>
          <w:color w:val="auto"/>
          <w:sz w:val="28"/>
          <w:szCs w:val="28"/>
          <w:lang w:val="en-US" w:eastAsia="zh-CN"/>
        </w:rPr>
      </w:pPr>
      <w:r>
        <w:rPr>
          <w:rFonts w:hint="eastAsia" w:ascii="方正仿宋_GB2312" w:hAnsi="方正仿宋_GB2312" w:eastAsia="方正仿宋_GB2312" w:cs="方正仿宋_GB2312"/>
          <w:color w:val="auto"/>
          <w:sz w:val="28"/>
          <w:szCs w:val="28"/>
          <w:lang w:val="en-US" w:eastAsia="zh-CN"/>
        </w:rPr>
        <w:t>1.</w:t>
      </w:r>
      <w:r>
        <w:rPr>
          <w:rFonts w:hint="eastAsia" w:ascii="方正仿宋_GB2312" w:hAnsi="方正仿宋_GB2312" w:eastAsia="方正仿宋_GB2312" w:cs="方正仿宋_GB2312"/>
          <w:color w:val="000000"/>
          <w:sz w:val="28"/>
          <w:szCs w:val="28"/>
          <w:lang w:val="en-US" w:eastAsia="zh-CN"/>
        </w:rPr>
        <w:t>对预算</w:t>
      </w:r>
      <w:r>
        <w:rPr>
          <w:rFonts w:hint="default" w:ascii="方正仿宋_GB2312" w:hAnsi="方正仿宋_GB2312" w:eastAsia="方正仿宋_GB2312" w:cs="方正仿宋_GB2312"/>
          <w:color w:val="000000"/>
          <w:sz w:val="28"/>
          <w:szCs w:val="28"/>
          <w:lang w:val="en-US" w:eastAsia="zh-CN"/>
        </w:rPr>
        <w:t>绩效评价</w:t>
      </w:r>
      <w:r>
        <w:rPr>
          <w:rFonts w:hint="eastAsia" w:ascii="方正仿宋_GB2312" w:hAnsi="方正仿宋_GB2312" w:eastAsia="方正仿宋_GB2312" w:cs="方正仿宋_GB2312"/>
          <w:color w:val="000000"/>
          <w:sz w:val="28"/>
          <w:szCs w:val="28"/>
          <w:lang w:val="en-US" w:eastAsia="zh-CN"/>
        </w:rPr>
        <w:t>指标的分析不够全面</w:t>
      </w:r>
      <w:r>
        <w:rPr>
          <w:rFonts w:hint="eastAsia" w:ascii="方正仿宋_GB2312" w:hAnsi="方正仿宋_GB2312" w:eastAsia="方正仿宋_GB2312" w:cs="方正仿宋_GB2312"/>
          <w:color w:val="auto"/>
          <w:sz w:val="28"/>
          <w:szCs w:val="28"/>
          <w:lang w:val="en-US" w:eastAsia="zh-CN"/>
        </w:rPr>
        <w:t>，财务人员专业水平有待进一步加强。</w:t>
      </w:r>
    </w:p>
    <w:p>
      <w:pPr>
        <w:keepNext w:val="0"/>
        <w:keepLines w:val="0"/>
        <w:pageBreakBefore w:val="0"/>
        <w:widowControl/>
        <w:kinsoku/>
        <w:wordWrap/>
        <w:overflowPunct/>
        <w:topLinePunct w:val="0"/>
        <w:autoSpaceDE/>
        <w:autoSpaceDN/>
        <w:bidi w:val="0"/>
        <w:adjustRightInd/>
        <w:snapToGrid/>
        <w:spacing w:line="400" w:lineRule="exact"/>
        <w:ind w:firstLine="560" w:firstLineChars="200"/>
        <w:jc w:val="left"/>
        <w:textAlignment w:val="auto"/>
        <w:rPr>
          <w:rFonts w:hint="default" w:ascii="方正仿宋_GB2312" w:hAnsi="方正仿宋_GB2312" w:eastAsia="方正仿宋_GB2312" w:cs="方正仿宋_GB2312"/>
          <w:color w:val="auto"/>
          <w:sz w:val="28"/>
          <w:szCs w:val="28"/>
          <w:lang w:val="en-US" w:eastAsia="zh-CN"/>
        </w:rPr>
      </w:pPr>
      <w:r>
        <w:rPr>
          <w:rFonts w:hint="eastAsia" w:ascii="方正仿宋_GB2312" w:hAnsi="方正仿宋_GB2312" w:eastAsia="方正仿宋_GB2312" w:cs="方正仿宋_GB2312"/>
          <w:color w:val="auto"/>
          <w:sz w:val="28"/>
          <w:szCs w:val="28"/>
          <w:lang w:val="en-US" w:eastAsia="zh-CN"/>
        </w:rPr>
        <w:t>2.</w:t>
      </w:r>
      <w:r>
        <w:rPr>
          <w:rFonts w:hint="default" w:ascii="方正仿宋_GB2312" w:hAnsi="方正仿宋_GB2312" w:eastAsia="方正仿宋_GB2312" w:cs="方正仿宋_GB2312"/>
          <w:color w:val="000000"/>
          <w:sz w:val="28"/>
          <w:szCs w:val="28"/>
          <w:lang w:val="en-US" w:eastAsia="zh-CN"/>
        </w:rPr>
        <w:t>预算绩效管理的合理性、科学性还需加强。</w:t>
      </w:r>
      <w:r>
        <w:rPr>
          <w:rFonts w:hint="eastAsia" w:ascii="方正仿宋_GB2312" w:hAnsi="方正仿宋_GB2312" w:eastAsia="方正仿宋_GB2312" w:cs="方正仿宋_GB2312"/>
          <w:color w:val="auto"/>
          <w:sz w:val="28"/>
          <w:szCs w:val="28"/>
          <w:lang w:val="en-US" w:eastAsia="zh-CN"/>
        </w:rPr>
        <w:t>预算与实际支出仍存在差异，预算编制有待进一步加强，确保预算执行力度。</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八、下一步改进措施</w:t>
      </w:r>
    </w:p>
    <w:p>
      <w:pPr>
        <w:keepNext w:val="0"/>
        <w:keepLines w:val="0"/>
        <w:pageBreakBefore w:val="0"/>
        <w:widowControl/>
        <w:kinsoku/>
        <w:wordWrap/>
        <w:overflowPunct/>
        <w:topLinePunct w:val="0"/>
        <w:autoSpaceDE/>
        <w:autoSpaceDN/>
        <w:bidi w:val="0"/>
        <w:adjustRightInd/>
        <w:snapToGrid/>
        <w:spacing w:line="400" w:lineRule="exact"/>
        <w:ind w:firstLine="560" w:firstLineChars="200"/>
        <w:jc w:val="left"/>
        <w:textAlignment w:val="auto"/>
        <w:rPr>
          <w:rFonts w:hint="eastAsia" w:ascii="方正仿宋_GB2312" w:hAnsi="方正仿宋_GB2312" w:eastAsia="方正仿宋_GB2312" w:cs="方正仿宋_GB2312"/>
          <w:color w:val="auto"/>
          <w:sz w:val="28"/>
          <w:szCs w:val="28"/>
          <w:lang w:val="en-US" w:eastAsia="zh-CN"/>
        </w:rPr>
      </w:pPr>
      <w:r>
        <w:rPr>
          <w:rFonts w:hint="eastAsia" w:ascii="方正仿宋_GB2312" w:hAnsi="方正仿宋_GB2312" w:eastAsia="方正仿宋_GB2312" w:cs="方正仿宋_GB2312"/>
          <w:color w:val="auto"/>
          <w:sz w:val="28"/>
          <w:szCs w:val="28"/>
          <w:lang w:val="en-US" w:eastAsia="zh-CN"/>
        </w:rPr>
        <w:t>1.积极与财政衔接，加强财务人员学习，提升专业水平。</w:t>
      </w:r>
    </w:p>
    <w:p>
      <w:pPr>
        <w:keepNext w:val="0"/>
        <w:keepLines w:val="0"/>
        <w:pageBreakBefore w:val="0"/>
        <w:widowControl/>
        <w:kinsoku/>
        <w:wordWrap/>
        <w:overflowPunct/>
        <w:topLinePunct w:val="0"/>
        <w:autoSpaceDE/>
        <w:autoSpaceDN/>
        <w:bidi w:val="0"/>
        <w:adjustRightInd/>
        <w:snapToGrid/>
        <w:spacing w:line="400" w:lineRule="exact"/>
        <w:ind w:firstLine="560" w:firstLineChars="200"/>
        <w:jc w:val="left"/>
        <w:textAlignment w:val="auto"/>
        <w:rPr>
          <w:rFonts w:hint="default" w:ascii="方正仿宋_GB2312" w:hAnsi="方正仿宋_GB2312" w:eastAsia="方正仿宋_GB2312" w:cs="方正仿宋_GB2312"/>
          <w:color w:val="auto"/>
          <w:sz w:val="28"/>
          <w:szCs w:val="28"/>
          <w:lang w:val="en-US" w:eastAsia="zh-CN"/>
        </w:rPr>
      </w:pPr>
      <w:r>
        <w:rPr>
          <w:rFonts w:hint="eastAsia" w:ascii="方正仿宋_GB2312" w:hAnsi="方正仿宋_GB2312" w:eastAsia="方正仿宋_GB2312" w:cs="方正仿宋_GB2312"/>
          <w:color w:val="auto"/>
          <w:sz w:val="28"/>
          <w:szCs w:val="28"/>
          <w:lang w:val="en-US" w:eastAsia="zh-CN"/>
        </w:rPr>
        <w:t>2.进一步加强预算管理，严格执行预算管理制度，严控资金使用，确保预算管理科学化、合理化。</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九、部门整体支出绩效自评结果拟应用和公开情况</w:t>
      </w:r>
    </w:p>
    <w:p>
      <w:pPr>
        <w:keepNext w:val="0"/>
        <w:keepLines w:val="0"/>
        <w:pageBreakBefore w:val="0"/>
        <w:widowControl/>
        <w:kinsoku/>
        <w:wordWrap/>
        <w:overflowPunct/>
        <w:topLinePunct w:val="0"/>
        <w:autoSpaceDE/>
        <w:autoSpaceDN/>
        <w:bidi w:val="0"/>
        <w:adjustRightInd/>
        <w:snapToGrid/>
        <w:spacing w:line="400" w:lineRule="exact"/>
        <w:ind w:firstLine="560" w:firstLineChars="200"/>
        <w:jc w:val="left"/>
        <w:textAlignment w:val="auto"/>
        <w:rPr>
          <w:rFonts w:hint="eastAsia" w:ascii="方正仿宋_GB2312" w:hAnsi="方正仿宋_GB2312" w:eastAsia="方正仿宋_GB2312" w:cs="方正仿宋_GB2312"/>
          <w:color w:val="auto"/>
          <w:sz w:val="28"/>
          <w:szCs w:val="28"/>
          <w:lang w:val="en-US" w:eastAsia="zh-CN"/>
        </w:rPr>
      </w:pPr>
      <w:r>
        <w:rPr>
          <w:rFonts w:hint="eastAsia" w:ascii="方正仿宋_GB2312" w:hAnsi="方正仿宋_GB2312" w:eastAsia="方正仿宋_GB2312" w:cs="方正仿宋_GB2312"/>
          <w:color w:val="auto"/>
          <w:sz w:val="28"/>
          <w:szCs w:val="28"/>
          <w:lang w:val="en-US" w:eastAsia="zh-CN"/>
        </w:rPr>
        <w:t>1.对照绩效自评结果，总结经验，发现问题，提出改进的方向和具体措施，促进工作的开展。</w:t>
      </w:r>
    </w:p>
    <w:p>
      <w:pPr>
        <w:keepNext w:val="0"/>
        <w:keepLines w:val="0"/>
        <w:pageBreakBefore w:val="0"/>
        <w:widowControl/>
        <w:kinsoku/>
        <w:wordWrap/>
        <w:overflowPunct/>
        <w:topLinePunct w:val="0"/>
        <w:autoSpaceDE/>
        <w:autoSpaceDN/>
        <w:bidi w:val="0"/>
        <w:adjustRightInd/>
        <w:snapToGrid/>
        <w:spacing w:line="400" w:lineRule="exact"/>
        <w:ind w:firstLine="560" w:firstLineChars="200"/>
        <w:jc w:val="left"/>
        <w:textAlignment w:val="auto"/>
        <w:rPr>
          <w:rFonts w:hint="default" w:ascii="方正仿宋_GB2312" w:hAnsi="方正仿宋_GB2312" w:eastAsia="方正仿宋_GB2312" w:cs="方正仿宋_GB2312"/>
          <w:color w:val="auto"/>
          <w:sz w:val="28"/>
          <w:szCs w:val="28"/>
          <w:lang w:val="en-US" w:eastAsia="zh-CN"/>
        </w:rPr>
      </w:pPr>
      <w:r>
        <w:rPr>
          <w:rFonts w:hint="eastAsia" w:ascii="方正仿宋_GB2312" w:hAnsi="方正仿宋_GB2312" w:eastAsia="方正仿宋_GB2312" w:cs="方正仿宋_GB2312"/>
          <w:color w:val="auto"/>
          <w:sz w:val="28"/>
          <w:szCs w:val="28"/>
          <w:lang w:val="en-US" w:eastAsia="zh-CN"/>
        </w:rPr>
        <w:t>2.逐步建立绩效评价与部门预算相结合的结果应用机制，实行绩效评价结果在部门预算编制和执行中的应用，促进财政资金的合理分配与有效使用。</w:t>
      </w:r>
    </w:p>
    <w:p>
      <w:pPr>
        <w:keepNext w:val="0"/>
        <w:keepLines w:val="0"/>
        <w:pageBreakBefore w:val="0"/>
        <w:widowControl/>
        <w:kinsoku/>
        <w:wordWrap/>
        <w:overflowPunct/>
        <w:topLinePunct w:val="0"/>
        <w:autoSpaceDE/>
        <w:autoSpaceDN/>
        <w:bidi w:val="0"/>
        <w:adjustRightInd/>
        <w:snapToGrid/>
        <w:spacing w:line="400" w:lineRule="exact"/>
        <w:ind w:firstLine="560" w:firstLineChars="200"/>
        <w:jc w:val="left"/>
        <w:textAlignment w:val="auto"/>
        <w:rPr>
          <w:rFonts w:hint="default" w:ascii="方正仿宋_GB2312" w:hAnsi="方正仿宋_GB2312" w:eastAsia="方正仿宋_GB2312" w:cs="方正仿宋_GB2312"/>
          <w:color w:val="auto"/>
          <w:sz w:val="28"/>
          <w:szCs w:val="28"/>
          <w:lang w:val="en-US" w:eastAsia="zh-CN"/>
        </w:rPr>
      </w:pPr>
      <w:r>
        <w:rPr>
          <w:rFonts w:hint="eastAsia" w:ascii="方正仿宋_GB2312" w:hAnsi="方正仿宋_GB2312" w:eastAsia="方正仿宋_GB2312" w:cs="方正仿宋_GB2312"/>
          <w:color w:val="auto"/>
          <w:sz w:val="28"/>
          <w:szCs w:val="28"/>
          <w:lang w:val="en-US" w:eastAsia="zh-CN"/>
        </w:rPr>
        <w:t>3.对部门整体支出绩效自评在规定时间内公开至本单位门户网站，确保公开数据真实、完整、准确。</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color w:val="auto"/>
          <w:sz w:val="32"/>
          <w:szCs w:val="32"/>
          <w:highlight w:val="none"/>
        </w:rPr>
      </w:pPr>
      <w:r>
        <w:rPr>
          <w:rFonts w:hint="eastAsia" w:ascii="Times New Roman" w:hAnsi="Times New Roman" w:eastAsia="黑体" w:cs="Times New Roman"/>
          <w:color w:val="auto"/>
          <w:sz w:val="32"/>
          <w:szCs w:val="32"/>
          <w:highlight w:val="none"/>
          <w:lang w:eastAsia="zh-CN"/>
        </w:rPr>
        <w:t>十、</w:t>
      </w:r>
      <w:r>
        <w:rPr>
          <w:rFonts w:hint="default" w:ascii="Times New Roman" w:hAnsi="Times New Roman" w:eastAsia="黑体" w:cs="Times New Roman"/>
          <w:color w:val="auto"/>
          <w:sz w:val="32"/>
          <w:szCs w:val="32"/>
          <w:highlight w:val="none"/>
        </w:rPr>
        <w:t>其他需要说明的情况</w:t>
      </w:r>
    </w:p>
    <w:p>
      <w:pPr>
        <w:keepNext w:val="0"/>
        <w:keepLines w:val="0"/>
        <w:pageBreakBefore w:val="0"/>
        <w:widowControl/>
        <w:kinsoku/>
        <w:wordWrap/>
        <w:overflowPunct/>
        <w:topLinePunct w:val="0"/>
        <w:autoSpaceDE/>
        <w:autoSpaceDN/>
        <w:bidi w:val="0"/>
        <w:adjustRightInd/>
        <w:snapToGrid/>
        <w:spacing w:line="400" w:lineRule="exact"/>
        <w:ind w:firstLine="560" w:firstLineChars="200"/>
        <w:jc w:val="left"/>
        <w:textAlignment w:val="auto"/>
        <w:rPr>
          <w:rFonts w:hint="eastAsia" w:ascii="方正仿宋_GB2312" w:hAnsi="方正仿宋_GB2312" w:eastAsia="方正仿宋_GB2312" w:cs="方正仿宋_GB2312"/>
          <w:color w:val="auto"/>
          <w:sz w:val="28"/>
          <w:szCs w:val="28"/>
          <w:lang w:val="en-US" w:eastAsia="zh-CN"/>
        </w:rPr>
      </w:pPr>
      <w:r>
        <w:rPr>
          <w:rFonts w:hint="eastAsia" w:ascii="方正仿宋_GB2312" w:hAnsi="方正仿宋_GB2312" w:eastAsia="方正仿宋_GB2312" w:cs="方正仿宋_GB2312"/>
          <w:color w:val="auto"/>
          <w:sz w:val="28"/>
          <w:szCs w:val="28"/>
          <w:lang w:val="en-US" w:eastAsia="zh-CN"/>
        </w:rPr>
        <w:t>无。</w:t>
      </w: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color w:val="auto"/>
          <w:sz w:val="32"/>
          <w:szCs w:val="32"/>
          <w:highlight w:val="none"/>
          <w:lang w:eastAsia="zh-CN"/>
        </w:rPr>
      </w:pPr>
    </w:p>
    <w:sectPr>
      <w:pgSz w:w="11906" w:h="16838"/>
      <w:pgMar w:top="1440" w:right="1803" w:bottom="1440" w:left="1689"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60909ADF-BB28-4ABB-A622-133E621C752E}"/>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panose1 w:val="00000600000000000000"/>
    <w:charset w:val="86"/>
    <w:family w:val="auto"/>
    <w:pitch w:val="default"/>
    <w:sig w:usb0="800002BF" w:usb1="184F6CF8" w:usb2="00000012" w:usb3="00000000" w:csb0="00160001" w:csb1="12030000"/>
    <w:embedRegular r:id="rId2" w:fontKey="{F9D53A3F-1F49-4A04-9F4E-A5E16EF1A453}"/>
  </w:font>
  <w:font w:name="仿宋_GB2312">
    <w:panose1 w:val="02010609030101010101"/>
    <w:charset w:val="86"/>
    <w:family w:val="modern"/>
    <w:pitch w:val="default"/>
    <w:sig w:usb0="00000001" w:usb1="080E0000" w:usb2="00000000" w:usb3="00000000" w:csb0="00040000" w:csb1="00000000"/>
    <w:embedRegular r:id="rId3" w:fontKey="{22375617-297A-456D-B1C6-A23AE94EA686}"/>
  </w:font>
  <w:font w:name="方正仿宋_GB2312">
    <w:panose1 w:val="02000000000000000000"/>
    <w:charset w:val="86"/>
    <w:family w:val="auto"/>
    <w:pitch w:val="default"/>
    <w:sig w:usb0="A00002BF" w:usb1="184F6CFA" w:usb2="00000012" w:usb3="00000000" w:csb0="00040001" w:csb1="00000000"/>
    <w:embedRegular r:id="rId4" w:fontKey="{645F9102-F161-416E-A8E0-36A22FC000BA}"/>
  </w:font>
  <w:font w:name="方正小标宋_GBK">
    <w:altName w:val="微软雅黑"/>
    <w:panose1 w:val="02000000000000000000"/>
    <w:charset w:val="86"/>
    <w:family w:val="script"/>
    <w:pitch w:val="default"/>
    <w:sig w:usb0="00000000" w:usb1="00000000" w:usb2="00000000" w:usb3="00000000" w:csb0="00040000" w:csb1="00000000"/>
    <w:embedRegular r:id="rId5" w:fontKey="{F9953BEE-278D-469B-B93A-3DD1D510CFAF}"/>
  </w:font>
  <w:font w:name="楷体_GB2312">
    <w:altName w:val="楷体"/>
    <w:panose1 w:val="02010609030101010101"/>
    <w:charset w:val="86"/>
    <w:family w:val="modern"/>
    <w:pitch w:val="default"/>
    <w:sig w:usb0="00000000" w:usb1="00000000" w:usb2="00000000" w:usb3="00000000" w:csb0="00040000" w:csb1="00000000"/>
    <w:embedRegular r:id="rId6" w:fontKey="{541B9F7C-38F1-4D42-BA9A-D8D3F6A41473}"/>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384367"/>
    <w:multiLevelType w:val="singleLevel"/>
    <w:tmpl w:val="BF384367"/>
    <w:lvl w:ilvl="0" w:tentative="0">
      <w:start w:val="4"/>
      <w:numFmt w:val="chineseCounting"/>
      <w:suff w:val="nothing"/>
      <w:lvlText w:val="%1、"/>
      <w:lvlJc w:val="left"/>
      <w:rPr>
        <w:rFonts w:hint="eastAsia"/>
      </w:rPr>
    </w:lvl>
  </w:abstractNum>
  <w:abstractNum w:abstractNumId="1">
    <w:nsid w:val="BF838EFC"/>
    <w:multiLevelType w:val="singleLevel"/>
    <w:tmpl w:val="BF838EFC"/>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1ZDg1MjQyMWM5NGNiNzE1YmE2OTlhMTU3MzM4MzAifQ=="/>
  </w:docVars>
  <w:rsids>
    <w:rsidRoot w:val="59886344"/>
    <w:rsid w:val="087B0325"/>
    <w:rsid w:val="09BB0D18"/>
    <w:rsid w:val="0B21104E"/>
    <w:rsid w:val="0C2D7877"/>
    <w:rsid w:val="0E4B63E2"/>
    <w:rsid w:val="10C304B2"/>
    <w:rsid w:val="17693745"/>
    <w:rsid w:val="18E36FE2"/>
    <w:rsid w:val="1A197394"/>
    <w:rsid w:val="1E3E516A"/>
    <w:rsid w:val="22877591"/>
    <w:rsid w:val="231D1CA3"/>
    <w:rsid w:val="243C084F"/>
    <w:rsid w:val="260D12B8"/>
    <w:rsid w:val="2A0A3B7B"/>
    <w:rsid w:val="2C895067"/>
    <w:rsid w:val="2DDE64D3"/>
    <w:rsid w:val="2E750BE6"/>
    <w:rsid w:val="2F34284F"/>
    <w:rsid w:val="2F8337A1"/>
    <w:rsid w:val="31554CFE"/>
    <w:rsid w:val="320B662D"/>
    <w:rsid w:val="35492DCC"/>
    <w:rsid w:val="364C66D0"/>
    <w:rsid w:val="3AFE01B5"/>
    <w:rsid w:val="3B3E74C2"/>
    <w:rsid w:val="3C776471"/>
    <w:rsid w:val="3E07052A"/>
    <w:rsid w:val="40FF07E3"/>
    <w:rsid w:val="42FE1611"/>
    <w:rsid w:val="48252DC4"/>
    <w:rsid w:val="48B00D40"/>
    <w:rsid w:val="4AFB026D"/>
    <w:rsid w:val="4B4340EE"/>
    <w:rsid w:val="4E710F72"/>
    <w:rsid w:val="4FFE4A87"/>
    <w:rsid w:val="53332C9A"/>
    <w:rsid w:val="551C150B"/>
    <w:rsid w:val="55545149"/>
    <w:rsid w:val="59886344"/>
    <w:rsid w:val="5B353327"/>
    <w:rsid w:val="5BEF1728"/>
    <w:rsid w:val="5C2855D3"/>
    <w:rsid w:val="64715298"/>
    <w:rsid w:val="652E1513"/>
    <w:rsid w:val="66482160"/>
    <w:rsid w:val="69822852"/>
    <w:rsid w:val="6985191D"/>
    <w:rsid w:val="6BC524A5"/>
    <w:rsid w:val="70B054D2"/>
    <w:rsid w:val="71E918B2"/>
    <w:rsid w:val="740E43AB"/>
    <w:rsid w:val="74B03CF2"/>
    <w:rsid w:val="7CB37EBE"/>
    <w:rsid w:val="7D4E22FA"/>
    <w:rsid w:val="7E3C65F7"/>
    <w:rsid w:val="7F58120E"/>
    <w:rsid w:val="DFEF88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 w:hAnsi="仿宋" w:eastAsia="宋体" w:cs="Times New Roman"/>
      <w:kern w:val="0"/>
      <w:sz w:val="28"/>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1"/>
      <w:szCs w:val="31"/>
      <w:lang w:val="en-US" w:eastAsia="en-US" w:bidi="ar-SA"/>
    </w:rPr>
  </w:style>
  <w:style w:type="paragraph" w:styleId="3">
    <w:name w:val="Body Text First Indent"/>
    <w:basedOn w:val="2"/>
    <w:qFormat/>
    <w:uiPriority w:val="0"/>
    <w:pPr>
      <w:adjustRightInd w:val="0"/>
      <w:snapToGrid w:val="0"/>
      <w:spacing w:after="0" w:line="360" w:lineRule="auto"/>
      <w:ind w:firstLine="420" w:firstLineChars="100"/>
    </w:pPr>
    <w:rPr>
      <w:rFonts w:ascii="Times New Roman" w:hAnsi="Times New Roman" w:eastAsia="宋体" w:cs="Times New Roman"/>
      <w:sz w:val="28"/>
      <w:szCs w:val="20"/>
    </w:rPr>
  </w:style>
  <w:style w:type="paragraph" w:customStyle="1" w:styleId="6">
    <w:name w:val="样式2"/>
    <w:basedOn w:val="1"/>
    <w:qFormat/>
    <w:uiPriority w:val="0"/>
    <w:pPr>
      <w:widowControl/>
      <w:shd w:val="clear" w:color="auto" w:fill="FFFFFF"/>
      <w:spacing w:before="100" w:beforeAutospacing="1" w:after="100" w:afterAutospacing="1"/>
      <w:ind w:left="562"/>
      <w:jc w:val="center"/>
    </w:pPr>
    <w:rPr>
      <w:rFonts w:ascii="宋体" w:hAnsi="宋体"/>
      <w:b/>
      <w:bCs/>
      <w:szCs w:val="21"/>
    </w:rPr>
  </w:style>
  <w:style w:type="paragraph" w:customStyle="1" w:styleId="7">
    <w:name w:val="列出段落1"/>
    <w:basedOn w:val="1"/>
    <w:qFormat/>
    <w:uiPriority w:val="34"/>
    <w:pPr>
      <w:ind w:firstLine="420" w:firstLineChars="200"/>
    </w:pPr>
  </w:style>
  <w:style w:type="paragraph" w:styleId="8">
    <w:name w:val="List Paragraph"/>
    <w:basedOn w:val="1"/>
    <w:qFormat/>
    <w:uiPriority w:val="99"/>
    <w:pPr>
      <w:ind w:firstLine="420" w:firstLineChars="200"/>
    </w:pPr>
    <w:rPr>
      <w:rFonts w:ascii="Calibri" w:hAnsi="Calibri"/>
      <w:szCs w:val="22"/>
    </w:rPr>
  </w:style>
  <w:style w:type="paragraph" w:customStyle="1" w:styleId="9">
    <w:name w:val="正文首行缩进1"/>
    <w:basedOn w:val="1"/>
    <w:qFormat/>
    <w:uiPriority w:val="0"/>
    <w:pPr>
      <w:spacing w:after="120"/>
      <w:ind w:firstLine="420" w:firstLineChars="100"/>
    </w:pPr>
    <w:rPr>
      <w:rFonts w:ascii="Times New Roman" w:hAnsi="Times New Roman" w:eastAsia="宋体" w:cs="Times New Roma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2856</Words>
  <Characters>3187</Characters>
  <Lines>0</Lines>
  <Paragraphs>0</Paragraphs>
  <TotalTime>6</TotalTime>
  <ScaleCrop>false</ScaleCrop>
  <LinksUpToDate>false</LinksUpToDate>
  <CharactersWithSpaces>3597</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2024-03-18T08:36:00Z</dcterms:created>
  <dc:creator>Administrator</dc:creator>
  <cp:lastModifiedBy>口天wu</cp:lastModifiedBy>
  <cp:lastPrinted>2024-07-05T04:41:00Z</cp:lastPrinted>
  <dcterms:modified xsi:type="dcterms:W3CDTF">2024-07-12T02:39:25Z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FF486D79928F4DBFA2F3FE8E3947F126_13</vt:lpwstr>
  </property>
</Properties>
</file>