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exact"/>
        <w:ind w:firstLine="880" w:firstLineChars="20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岳阳市君山区经济研究中心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岳阳市君山区经济研究中心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560" w:lineRule="exact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一、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一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>单位职能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1、负责起草《政府工作报告》和区政府主要领导同志重要讲话、报告等文稿；审修部门起草的区政府主要领导同志在全区有关会议上的讲话文稿。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2、负责或参与起草区政府向市委、市政府的重要汇报材料；组织和协同有关方面起草、修改区政府有关重要综合性文件；参与起草区委、区政府有关重要会议文件。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3、对涉及全区经济建设、社会发展和改革开放等全局性工作的重大课题组织调查研究，及时综合归纳，提出供区政府决策的参考方案和政策性建议。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4、对区内外经济形势和社会发展政策进行分析和研究，提出政策建议。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5、收集、整理全区政务信息，及时向市政府研究室上报；收集、分析、整理和报送经济社会发展重要信息、动态，为区政府决策提供参考建议。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6、负责全区政府系统的情况综合、调查研究和信息工作指导。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7、编发《政府通报》和其他有关信息资料。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8、根据区政府委托，组织督促政府相关部门办理区人大、区政协交区政府的人大代表建议和政协委员提案。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9、完成区委、区政府交办的其他任务。</w:t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二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、机构设置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区经济研究中心设4个内设机构，分别是办公室、文稿室、调研室、信息室。区经济研究中心全额拨款事业编制7名。设主任1名，副主任2名，现有在编在岗人员7人。</w:t>
      </w:r>
    </w:p>
    <w:p>
      <w:pPr>
        <w:spacing w:line="560" w:lineRule="exact"/>
        <w:ind w:firstLine="643" w:firstLineChars="200"/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三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、2023年度部门整体支出、使用方向、主要内容和涉及范围</w:t>
      </w:r>
    </w:p>
    <w:p>
      <w:pPr>
        <w:spacing w:line="560" w:lineRule="exact"/>
        <w:ind w:firstLine="643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1、</w:t>
      </w:r>
      <w:r>
        <w:rPr>
          <w:rFonts w:hint="default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2023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年经费整体支出情况。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2023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年全年支出66.34万元，其中工资福利支出50.22万元；商品服务支出16.12万元。</w:t>
      </w:r>
    </w:p>
    <w:p>
      <w:pPr>
        <w:spacing w:line="560" w:lineRule="exact"/>
        <w:ind w:firstLine="643" w:firstLineChars="200"/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-SA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-SA"/>
        </w:rPr>
        <w:t>2、资金使用方向、主要内容及涉及范围。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年全年支出66.34万元，基本支出为53.88万元，系保障本单位机构正常运转、完成日常工作任务而发生的各项支出，包括用于在职人员基本工资、津贴补贴等人员经费以及办公费、印刷费、水电费、会议费、办公设备购置等。其中：人员经费50.22万元，日常公用经费3.66万元。项目支出为12.46万元，主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用于调查研究经费、编印《政府通报》、办理建议、提案工作及学习培训等工作经费。</w:t>
      </w:r>
    </w:p>
    <w:p>
      <w:pPr>
        <w:pStyle w:val="2"/>
        <w:bidi w:val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3、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关于</w:t>
      </w:r>
      <w:r>
        <w:rPr>
          <w:rFonts w:hint="default" w:ascii="Times New Roman" w:hAnsi="Times New Roman" w:eastAsia="微软雅黑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2023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年度</w:t>
      </w:r>
      <w:r>
        <w:rPr>
          <w:rFonts w:hint="default" w:ascii="Times New Roman" w:hAnsi="Times New Roman" w:eastAsia="微软雅黑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“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三公</w:t>
      </w:r>
      <w:r>
        <w:rPr>
          <w:rFonts w:hint="default" w:ascii="Times New Roman" w:hAnsi="Times New Roman" w:eastAsia="微软雅黑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”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经费决算情况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　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年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“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三公经费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”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预算1万元，其中：公务接待1万元、因公出国（境）费0万元、公务用车购置及运行费0万元。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年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“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三公经费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”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实际完成0万元，其中：公务用车运行维护费0万元；公务接待费0万元，比上年减少0.59万元，减少的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主要原因是严格落实中央“八项规定”精神和“过紧日子”的要求，从严控制“三公”经费支出。</w:t>
      </w:r>
      <w:bookmarkStart w:id="0" w:name="START_IS_ZERO_06_2"/>
      <w:bookmarkEnd w:id="0"/>
      <w:bookmarkStart w:id="1" w:name="END_IS_ZERO_06_2"/>
      <w:bookmarkEnd w:id="1"/>
      <w:bookmarkStart w:id="2" w:name="END_IS_ZERO_06_1"/>
      <w:bookmarkEnd w:id="2"/>
      <w:bookmarkStart w:id="3" w:name="DIS_MARK_IS_ZERO_06_2"/>
      <w:bookmarkEnd w:id="3"/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spacing w:line="560" w:lineRule="exact"/>
        <w:ind w:firstLine="643" w:firstLineChars="200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基本支出用于为保障机构正常运转、完成日常工作任务而发生的支出，包括人员经费和公用经费。2023年基本支出53.88万元，其中：工资福利支出50.22万元，占基本支出的93.2%；商品和服务支出3.66万元，占基本支出的6.8%。</w:t>
      </w:r>
    </w:p>
    <w:p>
      <w:pPr>
        <w:numPr>
          <w:ilvl w:val="0"/>
          <w:numId w:val="1"/>
        </w:numPr>
        <w:spacing w:line="560" w:lineRule="exact"/>
        <w:ind w:firstLine="643" w:firstLineChars="200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2023年项目支出12.46万元，主要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用于调查研究经费、编印《政府通报》、办理建议、提案工作及学习培训等工作经费。</w:t>
      </w:r>
    </w:p>
    <w:p>
      <w:pPr>
        <w:pStyle w:val="2"/>
        <w:bidi w:val="0"/>
        <w:ind w:left="0" w:leftChars="0" w:firstLine="0" w:firstLineChars="0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四、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五、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六、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部门整体支出绩效情况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2023年单位整体支出较好地完成了绩效目标，基本实现了预算绩效管理，强化了财政资金的有效使用。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  <w:t>（一）2023年部门整体支出绩效目标设置及完成情况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bookmarkStart w:id="4" w:name="_GoBack"/>
      <w:bookmarkEnd w:id="4"/>
      <w:r>
        <w:rPr>
          <w:rFonts w:hint="eastAsia" w:ascii="楷体" w:hAnsi="楷体" w:eastAsia="楷体"/>
          <w:b/>
          <w:sz w:val="32"/>
          <w:szCs w:val="32"/>
          <w:lang w:val="en-US" w:eastAsia="zh-CN"/>
        </w:rPr>
        <w:t>目标1、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精益求精锤炼文稿</w:t>
      </w:r>
    </w:p>
    <w:p>
      <w:pP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完成情况：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始终将“精品”意识贯穿于文稿构思、起草、修改、校印全过程，坚持精巧构思、精准行文，做到各类文稿有观点、有创新、有高度。全年完成区人大政协“两会”、区高质量发展会议、区政府扩大会议、区委全会暨经济工作会等重要报告和向中央与省市领导的工作汇报、区政府述职述廉等重要文稿100多篇，全年起草的文稿达50多万字，其中《政府工作报告》等材料得到领导充分肯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目标2、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全心全意督办提案。</w:t>
      </w:r>
    </w:p>
    <w:p>
      <w:pP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完成情况：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积极督促议案提案办理工作，高质量办理人大议案、代表建议和委员提案86件，办结率和满意率达100%，得到人大和政协的充分肯定，获评君山区提案办理先进单位。</w:t>
      </w:r>
    </w:p>
    <w:p>
      <w:pPr>
        <w:rPr>
          <w:rFonts w:hint="eastAsi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目标3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、大兴调查研究之风。</w:t>
      </w:r>
    </w:p>
    <w:p>
      <w:pP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完成情况：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用好调查研究“传家宝”，一年来，重点围绕产业发展、新型城镇化和生态文明等全区中心工作，单独或陪同领导开展调研160多次，撰写了《2023年君山区中秋国庆期间旅游情况调研报告》《君山区物流产业发展调研报告》《关于园区企业用工问题的调研》等调研报告，为领导决策提供了素材和参考。</w:t>
      </w:r>
    </w:p>
    <w:p>
      <w:pPr>
        <w:ind w:firstLine="643" w:firstLineChars="20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</w:t>
      </w:r>
      <w:r>
        <w:rPr>
          <w:rFonts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单位资产管理和整体业务实施效果情况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本单位资产设有专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门人员将单位所有资产全部录入固定资产信息系统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,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实行动态管理。资产配置严格按照规定程序报批，坚持资产配备与单位履行职能需要相适应，坚持资产管理与预算管理相结合。资产利用率高，资产配置基本合理，人均占有办公室使用面积、人均占有通用设备数量等指标均在正常范围。科学管理和使用国有资产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,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保障单位正常运转的同时，合理配备并有效使用资产，充分发挥了国有资产的使用效益和社会效益。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七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、存在的问题及原因分析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1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、缺少专门的绩效管理人才。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目前,绩效管理工作跟随预算的相关工作均由财政部门牵头管理,大部分基层行政事业单位的绩效管理工作也是由财务部门牵头负责。由于现有体制的限制，基层行政事业单位很难单独成立绩效管理部门，绩效管理工作也只能由财务部门负责,但是很多绩效目标非常专业,需要业务部门来设计制定。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预算编制有待更加细化、精准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由于目前的预算管理在编制和实施中还存在编制不细、追加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或减少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预算等现象，因此预算执行的准确性还有待加强。 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八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、下一步改进措施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1、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加强财务人员的学习培训。加强单位财务人员年初预算项目支出的“绩效目标申报”编制和“财政支出绩效评价”专题培训，不断增强单位业务人员的业务水平；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根据绩效目标，合理编制年度预算。结合上一年度预算执行情况及本年度预算收支变化因素，根据部门具体绩效目标，科学编制本年度预算，力求精准，尽量减少调项和追加，保持预算执行的严肃性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。</w:t>
      </w:r>
    </w:p>
    <w:p>
      <w:pPr>
        <w:ind w:firstLine="640" w:firstLineChars="200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九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、部门整体支出绩效自评结果拟应用和公开情况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单位2023年度部门整体支出绩效自评结果拟按湖南省财政厅关于印发《湖南省预算支出绩效评价管理办法》的通知（湘财绩〔2020〕7号）要求，在整体支出项目绩效目标编制申报时，根据项目实际情况和预期可达成的目标，设置更科学合理的指标。严格按规定内容、时限在君山区政务中心门户网站公开，接受社会监督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部门整体支出绩效自评工作考核评分表</w:t>
      </w:r>
    </w:p>
    <w:p>
      <w:pPr>
        <w:spacing w:after="120" w:afterLines="50" w:line="600" w:lineRule="exact"/>
        <w:ind w:firstLine="720" w:firstLineChars="200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spacing w:after="120" w:afterLines="50" w:line="600" w:lineRule="exact"/>
        <w:ind w:firstLine="720" w:firstLineChars="200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spacing w:after="120" w:afterLines="50" w:line="600" w:lineRule="exact"/>
        <w:ind w:firstLine="720" w:firstLineChars="200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spacing w:after="120" w:afterLines="50" w:line="600" w:lineRule="exact"/>
        <w:ind w:firstLine="720" w:firstLineChars="200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spacing w:after="120" w:afterLines="50" w:line="600" w:lineRule="exact"/>
        <w:ind w:firstLine="360" w:firstLineChars="100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spacing w:after="120" w:afterLines="50" w:line="600" w:lineRule="exact"/>
        <w:ind w:firstLine="360" w:firstLineChars="100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spacing w:after="120" w:afterLines="50" w:line="600" w:lineRule="exact"/>
        <w:ind w:firstLine="360" w:firstLineChars="100"/>
        <w:jc w:val="both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7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0.59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0.59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17.05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18.5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12.46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17.05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18.5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12.46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其他资金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3、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3.01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12.34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3.01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11.34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一是加强支出预算管理；二是严格经费审批；三是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大力推行节约型机关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；四是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严格控制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各类会议和培训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经费支出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。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7"/>
        <w:tblW w:w="1094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7"/>
        <w:gridCol w:w="1020"/>
        <w:gridCol w:w="1160"/>
        <w:gridCol w:w="1868"/>
        <w:gridCol w:w="996"/>
        <w:gridCol w:w="1282"/>
        <w:gridCol w:w="900"/>
        <w:gridCol w:w="1063"/>
        <w:gridCol w:w="158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98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岳阳市君山区经济研究中心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107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92.23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66.34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66.34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71.93%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04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82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04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66.34</w:t>
            </w:r>
          </w:p>
        </w:tc>
        <w:tc>
          <w:tcPr>
            <w:tcW w:w="482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53.88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04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82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12.46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04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82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04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</w:p>
        </w:tc>
        <w:tc>
          <w:tcPr>
            <w:tcW w:w="482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504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8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8" w:hRule="atLeast"/>
          <w:jc w:val="center"/>
        </w:trPr>
        <w:tc>
          <w:tcPr>
            <w:tcW w:w="107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04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一是认真起草文稿。二是积极调查研究。三是加强对外宣传。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四是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完成区政府领导报告等大型材料100篇、把关政府部门各类文件、材料80篇、组织开展课题调研5个。</w:t>
            </w:r>
          </w:p>
        </w:tc>
        <w:tc>
          <w:tcPr>
            <w:tcW w:w="48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完成区人大政协“两会”、区高质量发展会议、区政府扩大会议、区委全会暨经济工作会等重要报告和向中央与省市领导的工作汇报、区政府述职述廉等重要文稿100多篇，全年起草的文稿达50多万字，其中《政府工作报告》等材料得到领导充分肯定。单独或陪同领导开展调研160多次，撰写了《2023年君山区中秋国庆期间旅游情况调研报告》《君山区物流产业发展调研报告》《关于园区企业用工问题的调研》等调研报告，为领导决策提供了素材和参考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1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完成区政府领导报告等大型材料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≥100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把关政府部门各类文件、材料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≥80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组织开展课题调研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≥5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区级以上媒体上稿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≥3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督促完成议案提案办理办结率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工作完成及时性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财政资金支出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92.23万元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66.34万元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预算减少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政府经济决策科学性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有效推动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决策采纳率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有效提升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献言建策制度</w:t>
            </w:r>
          </w:p>
        </w:tc>
        <w:tc>
          <w:tcPr>
            <w:tcW w:w="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定性</w:t>
            </w:r>
          </w:p>
        </w:tc>
        <w:tc>
          <w:tcPr>
            <w:tcW w:w="12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有效促进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公众满意度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</w:p>
        </w:tc>
        <w:tc>
          <w:tcPr>
            <w:tcW w:w="12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40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spacing w:before="120" w:beforeLines="50" w:after="120" w:afterLines="50"/>
        <w:jc w:val="center"/>
        <w:rPr>
          <w:rFonts w:hint="eastAsia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  <w:t>：</w:t>
      </w:r>
    </w:p>
    <w:p>
      <w:pPr>
        <w:spacing w:before="120" w:beforeLines="50" w:after="120" w:afterLines="50"/>
        <w:ind w:firstLine="720" w:firstLineChars="200"/>
        <w:jc w:val="both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eastAsia="zh-CN"/>
        </w:rPr>
        <w:t>部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7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A8D352"/>
    <w:multiLevelType w:val="singleLevel"/>
    <w:tmpl w:val="48A8D352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NmNGQ2ZDdhZDNjNWUyMjRiNDQ1ZThhMzRkNTJiM2QifQ=="/>
  </w:docVars>
  <w:rsids>
    <w:rsidRoot w:val="59886344"/>
    <w:rsid w:val="013670BB"/>
    <w:rsid w:val="03597864"/>
    <w:rsid w:val="036216B5"/>
    <w:rsid w:val="04B44004"/>
    <w:rsid w:val="07DC141F"/>
    <w:rsid w:val="0C5D60B6"/>
    <w:rsid w:val="10796170"/>
    <w:rsid w:val="10BC46C0"/>
    <w:rsid w:val="13094AA5"/>
    <w:rsid w:val="13547AE7"/>
    <w:rsid w:val="13D61A1C"/>
    <w:rsid w:val="185D7A31"/>
    <w:rsid w:val="186F154E"/>
    <w:rsid w:val="1B6765F2"/>
    <w:rsid w:val="1D063C00"/>
    <w:rsid w:val="1D6357BE"/>
    <w:rsid w:val="1F8E4CE0"/>
    <w:rsid w:val="1FA431B2"/>
    <w:rsid w:val="20362A4E"/>
    <w:rsid w:val="21132EE8"/>
    <w:rsid w:val="21A84623"/>
    <w:rsid w:val="223B2B5A"/>
    <w:rsid w:val="24C63360"/>
    <w:rsid w:val="24F2534C"/>
    <w:rsid w:val="261F7E95"/>
    <w:rsid w:val="2825407B"/>
    <w:rsid w:val="2BA040D3"/>
    <w:rsid w:val="2D2C69E8"/>
    <w:rsid w:val="2EFC30B5"/>
    <w:rsid w:val="32D86C30"/>
    <w:rsid w:val="335079DD"/>
    <w:rsid w:val="340A3386"/>
    <w:rsid w:val="34745E56"/>
    <w:rsid w:val="35260E8C"/>
    <w:rsid w:val="364C66D0"/>
    <w:rsid w:val="3688482F"/>
    <w:rsid w:val="36E1072C"/>
    <w:rsid w:val="382019F1"/>
    <w:rsid w:val="3AAF1381"/>
    <w:rsid w:val="3B046B78"/>
    <w:rsid w:val="3DAE7C70"/>
    <w:rsid w:val="3DCC00F6"/>
    <w:rsid w:val="3EA949A3"/>
    <w:rsid w:val="400B05F7"/>
    <w:rsid w:val="40E41BD8"/>
    <w:rsid w:val="41801923"/>
    <w:rsid w:val="424B6FED"/>
    <w:rsid w:val="46270E21"/>
    <w:rsid w:val="46BE415C"/>
    <w:rsid w:val="484566D6"/>
    <w:rsid w:val="4871646A"/>
    <w:rsid w:val="48895562"/>
    <w:rsid w:val="492E39C8"/>
    <w:rsid w:val="498B5D51"/>
    <w:rsid w:val="4A6C295B"/>
    <w:rsid w:val="4B7F2C4C"/>
    <w:rsid w:val="53DA21AF"/>
    <w:rsid w:val="54BB27D2"/>
    <w:rsid w:val="55276664"/>
    <w:rsid w:val="556012F3"/>
    <w:rsid w:val="586C030E"/>
    <w:rsid w:val="59886344"/>
    <w:rsid w:val="5AC07DC2"/>
    <w:rsid w:val="5B310598"/>
    <w:rsid w:val="5FDB49AB"/>
    <w:rsid w:val="605A7513"/>
    <w:rsid w:val="6517411C"/>
    <w:rsid w:val="65DE3BB0"/>
    <w:rsid w:val="673D3495"/>
    <w:rsid w:val="675B77B9"/>
    <w:rsid w:val="67AE6E6A"/>
    <w:rsid w:val="67F24A7A"/>
    <w:rsid w:val="699479CE"/>
    <w:rsid w:val="699C28B0"/>
    <w:rsid w:val="69C67397"/>
    <w:rsid w:val="6B5864BC"/>
    <w:rsid w:val="6EDD3662"/>
    <w:rsid w:val="70383DAA"/>
    <w:rsid w:val="71087164"/>
    <w:rsid w:val="71730628"/>
    <w:rsid w:val="72630EE2"/>
    <w:rsid w:val="73232BFD"/>
    <w:rsid w:val="758842E0"/>
    <w:rsid w:val="759837C4"/>
    <w:rsid w:val="78A65614"/>
    <w:rsid w:val="7A7F00D9"/>
    <w:rsid w:val="7ED10B84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  <w:rPr>
      <w:rFonts w:eastAsia="宋体" w:cs="Times New Roman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6">
    <w:name w:val="Body Text First Indent 2"/>
    <w:basedOn w:val="4"/>
    <w:qFormat/>
    <w:uiPriority w:val="0"/>
    <w:pPr>
      <w:spacing w:before="100" w:beforeAutospacing="1" w:after="0"/>
      <w:ind w:left="0" w:firstLine="420" w:firstLineChars="200"/>
    </w:pPr>
    <w:rPr>
      <w:rFonts w:ascii="Calibri" w:hAnsi="Calibri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paragraph" w:styleId="10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4738</Words>
  <Characters>5060</Characters>
  <Lines>0</Lines>
  <Paragraphs>0</Paragraphs>
  <TotalTime>8</TotalTime>
  <ScaleCrop>false</ScaleCrop>
  <LinksUpToDate>false</LinksUpToDate>
  <CharactersWithSpaces>5214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默默有为</cp:lastModifiedBy>
  <dcterms:modified xsi:type="dcterms:W3CDTF">2024-06-21T08:20:20Z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6182D3A10D564617983F46DEE354AEAF</vt:lpwstr>
  </property>
</Properties>
</file>