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600" w:lineRule="exact"/>
        <w:ind w:firstLine="880" w:firstLineChars="20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中共岳阳市君山区委政策研究中心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jc w:val="center"/>
        <w:rPr>
          <w:rFonts w:hint="default" w:ascii="Times New Roman" w:hAnsi="Times New Roman" w:eastAsia="方正小标宋_GBK" w:cs="Times New Roman"/>
          <w:b/>
          <w:sz w:val="52"/>
          <w:szCs w:val="5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both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jc w:val="center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部门（单位）名称：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u w:val="single"/>
        </w:rPr>
        <w:t>（盖章）</w:t>
      </w:r>
    </w:p>
    <w:p>
      <w:pPr>
        <w:spacing w:line="600" w:lineRule="exact"/>
        <w:jc w:val="center"/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2024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highlight w:val="none"/>
          <w:lang w:val="en-US" w:eastAsia="zh-CN"/>
        </w:rPr>
        <w:t>20</w:t>
      </w:r>
      <w:bookmarkStart w:id="0" w:name="_GoBack"/>
      <w:bookmarkEnd w:id="0"/>
      <w:r>
        <w:rPr>
          <w:rFonts w:hint="default" w:ascii="Times New Roman" w:hAnsi="Times New Roman" w:eastAsia="楷体_GB2312" w:cs="Times New Roman"/>
          <w:sz w:val="32"/>
          <w:szCs w:val="32"/>
          <w:highlight w:val="none"/>
        </w:rPr>
        <w:t>日</w:t>
      </w:r>
    </w:p>
    <w:p>
      <w:pPr>
        <w:jc w:val="center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（此页为封面）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br w:type="page"/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年度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  <w:lang w:eastAsia="zh-CN"/>
        </w:rPr>
        <w:t>中共岳阳市君山区委政策研究中心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highlight w:val="none"/>
        </w:rPr>
        <w:t>整体支出绩效自评报告</w:t>
      </w:r>
    </w:p>
    <w:p>
      <w:pPr>
        <w:numPr>
          <w:ilvl w:val="0"/>
          <w:numId w:val="0"/>
        </w:numPr>
        <w:pBdr>
          <w:top w:val="none" w:color="auto" w:sz="0" w:space="1"/>
          <w:left w:val="none" w:color="auto" w:sz="0" w:space="4"/>
          <w:bottom w:val="none" w:color="auto" w:sz="0" w:space="1"/>
          <w:right w:val="none" w:color="auto" w:sz="0" w:space="4"/>
        </w:pBdr>
        <w:spacing w:line="560" w:lineRule="exact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部门（单位）基本情况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  <w:lang w:eastAsia="zh-CN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一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  <w:lang w:eastAsia="zh-CN"/>
        </w:rPr>
        <w:t>单位职能</w:t>
      </w:r>
    </w:p>
    <w:p>
      <w:pPr>
        <w:spacing w:line="600" w:lineRule="exact"/>
        <w:jc w:val="left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 负责区委向上级的汇报材料、综合材料起草；围绕区委总体工作部署、中心工作和领导交办的课题开展调查研究，提出预案和建议；根据区委的意图，围绕中心工作，进行有关经济、政治、社会和党建等方面方针、政策问题的调查研究，提出意见和建议，供区委决策参考，并进行决策后的跟踪调查，为完善区委决策服务；在区委领导同志主持下，起草或修改区委重要政策性文件，负责或参与区委领导同志报告、讲话等文稿的起草工作；协助有关刊物的编辑工作。</w:t>
      </w:r>
    </w:p>
    <w:p>
      <w:pPr>
        <w:spacing w:line="560" w:lineRule="exact"/>
        <w:ind w:firstLine="643" w:firstLineChars="200"/>
        <w:rPr>
          <w:rFonts w:hint="eastAsia" w:ascii="仿宋_GB2312" w:hAnsi="仿宋_GB2312" w:eastAsia="仿宋_GB2312" w:cs="仿宋_GB2312"/>
          <w:bCs/>
          <w:sz w:val="32"/>
          <w:szCs w:val="32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二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仿宋_GB2312" w:hAnsi="仿宋_GB2312" w:eastAsia="仿宋_GB2312" w:cs="仿宋_GB2312"/>
          <w:b/>
          <w:bCs w:val="0"/>
          <w:sz w:val="32"/>
          <w:szCs w:val="32"/>
        </w:rPr>
        <w:t>、机构设置</w:t>
      </w:r>
    </w:p>
    <w:p>
      <w:pPr>
        <w:spacing w:line="600" w:lineRule="exact"/>
        <w:ind w:firstLine="640" w:firstLineChars="200"/>
        <w:jc w:val="left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中共岳阳市君山区委政策研究中心内设机构1个，为综合办公室。正科级事业单位，财政全额拨款，核定事业编制7名，其中领导职数1正2副。</w:t>
      </w:r>
    </w:p>
    <w:p>
      <w:pPr>
        <w:spacing w:line="560" w:lineRule="exact"/>
        <w:ind w:firstLine="643" w:firstLineChars="200"/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</w:t>
      </w:r>
      <w:r>
        <w:rPr>
          <w:rFonts w:hint="eastAsia" w:ascii="Times New Roman" w:hAnsi="Times New Roman" w:eastAsia="楷体_GB2312" w:cs="Times New Roman"/>
          <w:b/>
          <w:sz w:val="32"/>
          <w:szCs w:val="32"/>
          <w:highlight w:val="none"/>
          <w:lang w:eastAsia="zh-CN"/>
        </w:rPr>
        <w:t>三</w:t>
      </w: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）</w:t>
      </w: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、2023年度部门整体支出、使用方向、主要内容和涉及范围</w:t>
      </w:r>
    </w:p>
    <w:p>
      <w:pPr>
        <w:spacing w:line="560" w:lineRule="exact"/>
        <w:ind w:firstLine="643" w:firstLineChars="200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1、</w:t>
      </w:r>
      <w:r>
        <w:rPr>
          <w:rFonts w:hint="default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2023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年经费整体支出情况。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2023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年全年支出77.77万元，其中工资福利支出57.43万元；商品服务支出20.34万元。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-SA"/>
        </w:rPr>
        <w:t>2、资金使用方向、主要内容及涉及范围。</w:t>
      </w:r>
    </w:p>
    <w:p>
      <w:pPr>
        <w:pStyle w:val="2"/>
        <w:bidi w:val="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全年支出77.77万元，基本支出为58.91万元，系保障本单位机构正常运转、完成日常工作任务而发生的各项支出，包括用于在职人员基本工资、津贴补贴等人员经费以及办公费、印刷费、水电费、会议费、办公设备购置等。其中：人员经费52.78万元，日常公用经费6.13万元。项目支出为18.86万元，主要用于政策研究中心日常工作开支及区委政策专项资金。</w:t>
      </w:r>
    </w:p>
    <w:p>
      <w:pPr>
        <w:pStyle w:val="2"/>
        <w:bidi w:val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3、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关于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2023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年度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“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三公</w:t>
      </w:r>
      <w:r>
        <w:rPr>
          <w:rFonts w:hint="default" w:ascii="Times New Roman" w:hAnsi="Times New Roman" w:eastAsia="微软雅黑" w:cs="Times New Roman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”</w:t>
      </w:r>
      <w:r>
        <w:rPr>
          <w:rFonts w:hint="eastAsia" w:ascii="仿宋_GB2312" w:hAnsi="Times New Roman" w:eastAsia="仿宋_GB2312" w:cs="仿宋_GB2312"/>
          <w:b/>
          <w:bCs/>
          <w:i w:val="0"/>
          <w:iCs w:val="0"/>
          <w:caps w:val="0"/>
          <w:color w:val="000000"/>
          <w:spacing w:val="0"/>
          <w:sz w:val="32"/>
          <w:szCs w:val="32"/>
          <w:shd w:val="clear" w:fill="FFFFFF"/>
        </w:rPr>
        <w:t>经费决算情况</w:t>
      </w:r>
    </w:p>
    <w:p>
      <w:pPr>
        <w:pStyle w:val="2"/>
        <w:bidi w:val="0"/>
        <w:ind w:left="0" w:leftChars="0" w:firstLine="320" w:firstLineChars="100"/>
        <w:rPr>
          <w:rFonts w:hint="eastAsia" w:ascii="仿宋_GB2312" w:hAnsi="仿宋_GB2312" w:eastAsia="仿宋_GB2312" w:cs="仿宋_GB2312"/>
          <w:bCs/>
          <w:kern w:val="0"/>
          <w:sz w:val="28"/>
          <w:szCs w:val="28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　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预算1万元，其中：公务接待1万元、因公出国（境）费0万元、公务用车购置及运行费0万元。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年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“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三公经费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”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实际完成0.59万元，其中：公务用车运行维护费0万元；公务接待费0.59万元，比上年增加0.33万元，增加的主要原因是本单位2023年度学习交流增多，全年实际支出较预算有所减少。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二、一般公共预算支出情况</w:t>
      </w:r>
    </w:p>
    <w:p>
      <w:p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（一）基本支出情况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基本支出用于为保障机构正常运转、完成日常工作任务而发生的支出，包括人员经费和公用经费。2023年基本支出58.91万元，其中：工资福利支出52.78万元，占基本支出的89.6%；商品和服务支出6.13万元，占基本支出的10.4%。</w:t>
      </w:r>
    </w:p>
    <w:p>
      <w:pPr>
        <w:numPr>
          <w:ilvl w:val="0"/>
          <w:numId w:val="1"/>
        </w:numPr>
        <w:spacing w:line="560" w:lineRule="exact"/>
        <w:ind w:firstLine="643" w:firstLineChars="200"/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</w:pPr>
      <w:r>
        <w:rPr>
          <w:rFonts w:hint="default" w:ascii="Times New Roman" w:hAnsi="Times New Roman" w:eastAsia="楷体_GB2312" w:cs="Times New Roman"/>
          <w:b/>
          <w:sz w:val="32"/>
          <w:szCs w:val="32"/>
          <w:highlight w:val="none"/>
        </w:rPr>
        <w:t>项目支出情况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2023年项目支出18.86万元，主要用于政策研究中心日常工作开支及区委政策专项资金。</w:t>
      </w:r>
    </w:p>
    <w:p>
      <w:pPr>
        <w:pStyle w:val="2"/>
        <w:bidi w:val="0"/>
        <w:ind w:left="0" w:leftChars="0" w:firstLine="0" w:firstLineChars="0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政府性基金预算支出情况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四、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国有资本经营预算支出情况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五、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社会保险基金预算支出情况</w:t>
      </w:r>
    </w:p>
    <w:p>
      <w:pPr>
        <w:pStyle w:val="10"/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Chars="200"/>
        <w:jc w:val="both"/>
        <w:textAlignment w:val="auto"/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六、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部门整体支出绩效情况</w:t>
      </w:r>
    </w:p>
    <w:p>
      <w:pPr>
        <w:spacing w:line="560" w:lineRule="exact"/>
        <w:ind w:firstLine="640" w:firstLineChars="200"/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2023年单位整体支出较好地完成了绩效目标，基本实现了预算绩效管理，强化了财政资金的有效使用。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</w:pPr>
      <w:r>
        <w:rPr>
          <w:rFonts w:hint="default" w:ascii="Times New Roman" w:hAnsi="Times New Roman" w:eastAsia="仿宋_GB2312" w:cs="Times New Roman"/>
          <w:b/>
          <w:bCs/>
          <w:color w:val="000000"/>
          <w:sz w:val="32"/>
          <w:szCs w:val="32"/>
          <w:highlight w:val="none"/>
        </w:rPr>
        <w:t>（一）2023年部门整体支出绩效目标设置及完成情况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目标1、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狠抓学习固根本，精修内功强素质。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3" w:firstLineChars="200"/>
        <w:jc w:val="both"/>
        <w:textAlignment w:val="auto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 w:cs="Times New Roman"/>
          <w:b/>
          <w:kern w:val="0"/>
          <w:sz w:val="32"/>
          <w:szCs w:val="32"/>
          <w:lang w:val="en-US" w:eastAsia="zh-CN" w:bidi="ar-SA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始终深入学习贯彻党的二十大精神，以习近平新时代中国特色社会主义思想主题教育为契机，牢牢把握中央决策部署和省、市、区委工作要求，持续推动思想学习与中心工作同频共振，不断提高政策把握水平和文稿写作能力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目标2、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围绕中心优服务，精益求精提质效。</w:t>
      </w:r>
    </w:p>
    <w:p>
      <w:pPr>
        <w:ind w:firstLine="643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完成情况：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充分发挥“以文辅政”职能职责，高质量起草各类文稿230余篇，约105万字，其中，在《湖南工作》发表署名文章1篇，在市级相关刊物刊发署名文章和典型经验性材料若干篇，积极协助文字、信息工作，把关区委常委会议纪要29期。同时认真做好区委财经办相关工作。</w:t>
      </w:r>
    </w:p>
    <w:p>
      <w:pPr>
        <w:ind w:firstLine="643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目标3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、深入调研谋全局，精雕细琢出精品。</w:t>
      </w:r>
    </w:p>
    <w:p>
      <w:pPr>
        <w:ind w:firstLine="643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楷体" w:hAnsi="楷体" w:eastAsia="楷体"/>
          <w:b/>
          <w:sz w:val="32"/>
          <w:szCs w:val="32"/>
          <w:lang w:val="en-US" w:eastAsia="zh-CN"/>
        </w:rPr>
        <w:t>完成情况</w:t>
      </w:r>
      <w:r>
        <w:rPr>
          <w:rFonts w:hint="eastAsia" w:ascii="Times New Roman" w:hAnsi="Times New Roman" w:eastAsia="仿宋_GB2312" w:cs="Times New Roman"/>
          <w:b/>
          <w:bCs/>
          <w:kern w:val="0"/>
          <w:sz w:val="32"/>
          <w:szCs w:val="32"/>
          <w:highlight w:val="none"/>
          <w:lang w:val="en-US" w:eastAsia="zh-CN" w:bidi="ar-SA"/>
        </w:rPr>
        <w:t>：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围绕区域经济发展、产业项目、园区建设等重点工作，随同领导深入基层一线开展调研，切实加强对涉及全区经济社会发展重大问题的综合分析研究，为区委领导决策提供有效参考。</w:t>
      </w:r>
    </w:p>
    <w:p>
      <w:pPr>
        <w:ind w:firstLine="643" w:firstLineChars="200"/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4"/>
          <w:szCs w:val="24"/>
        </w:rPr>
      </w:pPr>
      <w:r>
        <w:rPr>
          <w:rFonts w:hint="eastAsia"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（二）</w:t>
      </w:r>
      <w:r>
        <w:rPr>
          <w:rFonts w:ascii="楷体_GB2312" w:hAnsi="微软雅黑" w:eastAsia="楷体_GB2312" w:cs="楷体_GB2312"/>
          <w:b/>
          <w:bCs/>
          <w:i w:val="0"/>
          <w:iCs w:val="0"/>
          <w:caps w:val="0"/>
          <w:color w:val="000000"/>
          <w:spacing w:val="0"/>
          <w:kern w:val="0"/>
          <w:sz w:val="32"/>
          <w:szCs w:val="32"/>
          <w:shd w:val="clear" w:fill="FFFFFF"/>
          <w:lang w:val="en-US" w:eastAsia="zh-CN" w:bidi="ar"/>
        </w:rPr>
        <w:t>单位资产管理和整体业务实施效果情况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本单位资产设有专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门人员将单位所有资产全部录入固定资产信息系统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实行动态管理。资产配置严格按照规定程序报批，坚持资产配备与单位履行职能需要相适应，坚持资产管理与预算管理相结合。资产利用率高，资产配置基本合理，人均占有办公室使用面积、人均占有通用设备数量等指标均在正常范围。科学管理和使用国有资产</w:t>
      </w: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,</w:t>
      </w: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保障单位正常运转的同时，合理配备并有效使用资产，充分发挥了国有资产的使用效益和社会效益。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2023年，在区委的坚强领导下，区委政研中心以习近平新时代中国特色社会主义思想为指导，坚持围绕中心，服务大局，不断研究新情况，探索新方法，适应新要求，以强化服务能力、提高服务水平为核心，集中精力抓好文稿起草工作，全面履行工作职责，高质量完成各项工作任务。</w:t>
      </w:r>
    </w:p>
    <w:p>
      <w:pPr>
        <w:pStyle w:val="10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七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、存在的问题及原因分析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zh-CN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zh-CN" w:eastAsia="zh-CN" w:bidi="ar-SA"/>
        </w:rPr>
        <w:t>绩效管理意识还有待加强。 绩效管理目标细化量化方式较为单一，前期对预算项目定位、功能、实施内容梳理不够深入。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八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、下一步改进措施</w:t>
      </w:r>
    </w:p>
    <w:p>
      <w:pPr>
        <w:ind w:firstLine="640" w:firstLineChars="200"/>
        <w:rPr>
          <w:rFonts w:hint="default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default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加强财务人员的学习培训。加强单位财务人员新《预算法》《政府会计准则》和《政府会计制度》等相关方面的业务培训学习，规范部门预算收支核算，增强预算的约束力和严肃性，切实提高部门预算收支管理水平，建议财政部门每年多组织几次财务人员业务培训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九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、部门整体支出绩效自评结果拟应用和公开情况</w:t>
      </w:r>
    </w:p>
    <w:p>
      <w:pPr>
        <w:ind w:firstLine="640" w:firstLineChars="200"/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kern w:val="0"/>
          <w:sz w:val="32"/>
          <w:szCs w:val="32"/>
          <w:highlight w:val="none"/>
          <w:lang w:val="en-US" w:eastAsia="zh-CN" w:bidi="ar-SA"/>
        </w:rPr>
        <w:t>单位2023年度部门整体支出绩效自评结果拟按湖南省财政厅关于印发《湖南省预算支出绩效评价管理办法》的通知（湘财绩〔2020〕7号）要求，在整体支出项目绩效目标编制申报时，根据项目实际情况和预期可达成的目标，设置更科学合理的指标。严格按规定内容、时限在君山区政务中心门户网站公开，接受社会监督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sz w:val="32"/>
          <w:szCs w:val="32"/>
          <w:highlight w:val="none"/>
          <w:lang w:eastAsia="zh-CN"/>
        </w:rPr>
        <w:t>十、</w:t>
      </w:r>
      <w:r>
        <w:rPr>
          <w:rFonts w:hint="default" w:ascii="Times New Roman" w:hAnsi="Times New Roman" w:eastAsia="黑体" w:cs="Times New Roman"/>
          <w:sz w:val="32"/>
          <w:szCs w:val="32"/>
          <w:highlight w:val="none"/>
        </w:rPr>
        <w:t>其他需要说明的情况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无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部门整体支出绩效评价基础数据表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部门整体支出绩效自评表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部门整体支出绩效自评工作考核评分表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720" w:firstLineChars="2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2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年度部门整体支出绩效评价基础数据表</w:t>
      </w:r>
    </w:p>
    <w:tbl>
      <w:tblPr>
        <w:tblStyle w:val="7"/>
        <w:tblW w:w="9673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54"/>
        <w:gridCol w:w="1189"/>
        <w:gridCol w:w="849"/>
        <w:gridCol w:w="1129"/>
        <w:gridCol w:w="1111"/>
        <w:gridCol w:w="1081"/>
        <w:gridCol w:w="96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财政供养人员情况（人）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编制数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年实际在职人数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100%</w:t>
            </w:r>
          </w:p>
        </w:tc>
      </w:tr>
      <w:tr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经费控制情况（万元）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年预算数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202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0"/>
                <w:szCs w:val="20"/>
                <w:highlight w:val="none"/>
              </w:rPr>
              <w:t>年决算数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三公经费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1、公务用车购置和维护经费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其中：公车购置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   公车运行维护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2、出国经费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3、公务接待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0.26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0.59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项目支出：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1、业务工作经费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21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18.86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2、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其他资金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both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 xml:space="preserve">    3、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3、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专项资金（一个专项一行）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……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公用经费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20.07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10.26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6.13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其中：办公经费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20.07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10.26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6.13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水费、电费、差旅费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          会议费、培训费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default" w:ascii="仿宋_GB2312" w:hAnsi="仿宋_GB2312" w:eastAsia="仿宋_GB2312" w:cs="仿宋_GB2312"/>
                <w:color w:val="000000" w:themeColor="text1"/>
                <w:sz w:val="20"/>
                <w:szCs w:val="20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政府采购金额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 xml:space="preserve">部门基本支出预算调整 </w:t>
            </w:r>
          </w:p>
        </w:tc>
        <w:tc>
          <w:tcPr>
            <w:tcW w:w="203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——</w:t>
            </w:r>
          </w:p>
        </w:tc>
        <w:tc>
          <w:tcPr>
            <w:tcW w:w="2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2041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楼堂馆所控制情况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（202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年完工项目）</w:t>
            </w: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批复规模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（㎡）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实际规模（㎡）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规模控制率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预算投资（万元）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实际投资（万元）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0"/>
                <w:szCs w:val="20"/>
                <w:highlight w:val="none"/>
              </w:rPr>
              <w:t>投资概算控制率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18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4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11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108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9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335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厉行节约保障措施</w:t>
            </w:r>
          </w:p>
        </w:tc>
        <w:tc>
          <w:tcPr>
            <w:tcW w:w="631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　一是加强支出预算管理；二是严格经费审批；三是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大力推行节约型机关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；四是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严格控制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各类会议和培训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eastAsia="zh-CN"/>
              </w:rPr>
              <w:t>经费支出</w:t>
            </w: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。</w:t>
            </w:r>
          </w:p>
        </w:tc>
      </w:tr>
    </w:tbl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说明：“项目支出”需要填报基本支出以外的所有项目支出情况，“公用经费”填报基本支出中的一般商品和服务支出。</w:t>
      </w:r>
    </w:p>
    <w:p>
      <w:pPr>
        <w:widowControl/>
        <w:spacing w:afterLines="0" w:line="400" w:lineRule="exact"/>
        <w:jc w:val="left"/>
        <w:rPr>
          <w:rFonts w:hint="default" w:ascii="Times New Roman" w:hAnsi="Times New Roman" w:eastAsia="仿宋_GB2312" w:cs="Times New Roman"/>
          <w:sz w:val="22"/>
          <w:highlight w:val="none"/>
        </w:rPr>
      </w:pPr>
    </w:p>
    <w:p>
      <w:pPr>
        <w:widowControl/>
        <w:spacing w:after="0" w:afterLines="0" w:line="400" w:lineRule="exact"/>
        <w:jc w:val="left"/>
        <w:rPr>
          <w:rFonts w:hint="eastAsia" w:ascii="黑体" w:hAnsi="黑体" w:eastAsia="黑体" w:cs="黑体"/>
          <w:sz w:val="32"/>
          <w:szCs w:val="32"/>
          <w:highlight w:val="none"/>
          <w:lang w:eastAsia="zh-CN"/>
        </w:rPr>
      </w:pPr>
      <w:r>
        <w:rPr>
          <w:rFonts w:hint="default" w:ascii="Times New Roman" w:hAnsi="Times New Roman" w:eastAsia="仿宋_GB2312" w:cs="Times New Roman"/>
          <w:sz w:val="22"/>
          <w:highlight w:val="none"/>
        </w:rPr>
        <w:t>填表人：        填报日期：          联系电话：            单位负责人签字：</w:t>
      </w:r>
      <w:r>
        <w:rPr>
          <w:rFonts w:hint="default" w:ascii="Times New Roman" w:hAnsi="Times New Roman" w:eastAsia="仿宋_GB2312" w:cs="Times New Roman"/>
          <w:sz w:val="22"/>
          <w:highlight w:val="none"/>
        </w:rPr>
        <w:br w:type="page"/>
      </w:r>
    </w:p>
    <w:p>
      <w:pPr>
        <w:widowControl/>
        <w:spacing w:after="120" w:afterLines="50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202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36"/>
          <w:highlight w:val="none"/>
        </w:rPr>
        <w:t>年度部门整体支出绩效自评表</w:t>
      </w:r>
    </w:p>
    <w:tbl>
      <w:tblPr>
        <w:tblStyle w:val="7"/>
        <w:tblW w:w="10400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1080"/>
        <w:gridCol w:w="873"/>
        <w:gridCol w:w="1936"/>
        <w:gridCol w:w="1091"/>
        <w:gridCol w:w="1159"/>
        <w:gridCol w:w="873"/>
        <w:gridCol w:w="791"/>
        <w:gridCol w:w="151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1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级预算部门名称</w:t>
            </w:r>
          </w:p>
        </w:tc>
        <w:tc>
          <w:tcPr>
            <w:tcW w:w="932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中共岳阳市君山区委政策研究中心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年度预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算申请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（万元）</w:t>
            </w: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年初预算数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全年预算数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全年执行数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执行率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  <w:t>得分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5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年度资金总额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81.2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77.77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77.77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95.7%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按收入性质分：</w:t>
            </w:r>
          </w:p>
        </w:tc>
        <w:tc>
          <w:tcPr>
            <w:tcW w:w="4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按支出性质分：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 xml:space="preserve">  其中：  一般公共预算：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77.77</w:t>
            </w:r>
          </w:p>
        </w:tc>
        <w:tc>
          <w:tcPr>
            <w:tcW w:w="4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其中：基本支出：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58.91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800" w:firstLineChars="400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政府性基金拨款：</w:t>
            </w:r>
          </w:p>
        </w:tc>
        <w:tc>
          <w:tcPr>
            <w:tcW w:w="4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600" w:firstLineChars="3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项目支出：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18.86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纳入专户管理的非税收入拨款：</w:t>
            </w:r>
          </w:p>
        </w:tc>
        <w:tc>
          <w:tcPr>
            <w:tcW w:w="4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ind w:firstLine="1400" w:firstLineChars="700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其他资金：</w:t>
            </w:r>
          </w:p>
        </w:tc>
        <w:tc>
          <w:tcPr>
            <w:tcW w:w="4340" w:type="dxa"/>
            <w:gridSpan w:val="4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年度总体目标</w:t>
            </w:r>
          </w:p>
        </w:tc>
        <w:tc>
          <w:tcPr>
            <w:tcW w:w="49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预期目标</w:t>
            </w:r>
          </w:p>
        </w:tc>
        <w:tc>
          <w:tcPr>
            <w:tcW w:w="43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实际完成情况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8" w:hRule="atLeast"/>
          <w:jc w:val="center"/>
        </w:trPr>
        <w:tc>
          <w:tcPr>
            <w:tcW w:w="1080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49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1、精心起草各类文稿。2、积极做好区委财经办相关工作，协助综调、信息工作。3、落实主要负责同志文字材料代拟稿制度，压实相关单位工作主体责任。</w:t>
            </w:r>
          </w:p>
        </w:tc>
        <w:tc>
          <w:tcPr>
            <w:tcW w:w="434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2023年，在区委的坚强领导下，区委政研中心以习近平新时代中国特色社会主义思想为指导，坚持围绕中心，服务大局，不断研究新情况，探索新方法，适应新要求，以强化服务能力、提高服务水平为核心，集中精力抓好文稿起草工作，全面履行工作职责，高质量完成各项工作任务。</w:t>
            </w:r>
          </w:p>
          <w:p>
            <w:pP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绩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一级指标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二级指标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三级指标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年度指标值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实际完成值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分值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得分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偏差原因分析及改进措施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产出指标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(50分)</w:t>
            </w:r>
          </w:p>
        </w:tc>
        <w:tc>
          <w:tcPr>
            <w:tcW w:w="8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数量指标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起草各类讲话稿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50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250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发表区委主要领导文章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完成调研报告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质量指标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文稿错字率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完善区委重要文件或方案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≤0.1%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0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时效指标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文稿采用率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≥1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工作完成及时性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≥99%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5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成本指标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财政资金支出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≤81.2万元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77.77万元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预算减少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效益指标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（30分）</w:t>
            </w:r>
          </w:p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经济效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政府经济决策科学性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有效推动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社会效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开展调查研究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定性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有效提升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生态效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益指标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可持续影响指标</w:t>
            </w:r>
          </w:p>
        </w:tc>
        <w:tc>
          <w:tcPr>
            <w:tcW w:w="1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献言建策制度</w:t>
            </w:r>
          </w:p>
        </w:tc>
        <w:tc>
          <w:tcPr>
            <w:tcW w:w="10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定性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有效促进</w:t>
            </w:r>
          </w:p>
        </w:tc>
        <w:tc>
          <w:tcPr>
            <w:tcW w:w="8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指标</w:t>
            </w:r>
          </w:p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服务对象满意度指标</w:t>
            </w: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0"/>
                <w:szCs w:val="20"/>
                <w:highlight w:val="none"/>
                <w:lang w:val="en-US" w:eastAsia="zh-CN" w:bidi="ar-SA"/>
              </w:rPr>
              <w:t>社会公众满意度</w:t>
            </w: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≥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95%</w:t>
            </w: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98%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10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eastAsia="zh-CN"/>
              </w:rPr>
              <w:t>无偏差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1080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08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873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  <w:tc>
          <w:tcPr>
            <w:tcW w:w="19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  <w:jc w:val="center"/>
        </w:trPr>
        <w:tc>
          <w:tcPr>
            <w:tcW w:w="72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总分</w:t>
            </w:r>
          </w:p>
        </w:tc>
        <w:tc>
          <w:tcPr>
            <w:tcW w:w="8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100</w:t>
            </w:r>
          </w:p>
        </w:tc>
        <w:tc>
          <w:tcPr>
            <w:tcW w:w="79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default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  <w:tc>
          <w:tcPr>
            <w:tcW w:w="1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0"/>
                <w:szCs w:val="20"/>
                <w:highlight w:val="none"/>
              </w:rPr>
              <w:t>　</w:t>
            </w:r>
          </w:p>
        </w:tc>
      </w:tr>
    </w:tbl>
    <w:p>
      <w:pPr>
        <w:spacing w:before="120" w:beforeLines="50" w:after="120" w:afterLines="50"/>
        <w:jc w:val="center"/>
        <w:rPr>
          <w:rFonts w:hint="eastAsia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 xml:space="preserve">填表人：      填报日期：         联系电话：     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val="en-US" w:eastAsia="zh-CN"/>
        </w:rPr>
        <w:t xml:space="preserve">           </w:t>
      </w:r>
      <w:r>
        <w:rPr>
          <w:rFonts w:hint="default" w:ascii="Times New Roman" w:hAnsi="Times New Roman" w:eastAsia="仿宋_GB2312" w:cs="Times New Roman"/>
          <w:sz w:val="22"/>
          <w:szCs w:val="22"/>
          <w:highlight w:val="none"/>
        </w:rPr>
        <w:t>单位负责人签字</w:t>
      </w:r>
      <w:r>
        <w:rPr>
          <w:rFonts w:hint="eastAsia" w:ascii="Times New Roman" w:hAnsi="Times New Roman" w:eastAsia="仿宋_GB2312" w:cs="Times New Roman"/>
          <w:sz w:val="22"/>
          <w:szCs w:val="22"/>
          <w:highlight w:val="none"/>
          <w:lang w:eastAsia="zh-CN"/>
        </w:rPr>
        <w:t>：</w:t>
      </w:r>
    </w:p>
    <w:p>
      <w:pPr>
        <w:spacing w:before="120" w:beforeLines="50" w:after="120" w:afterLines="50"/>
        <w:ind w:firstLine="720" w:firstLineChars="200"/>
        <w:jc w:val="both"/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部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门整体支出</w:t>
      </w:r>
      <w:r>
        <w:rPr>
          <w:rFonts w:hint="eastAsia" w:ascii="方正小标宋简体" w:hAnsi="方正小标宋简体" w:eastAsia="方正小标宋简体" w:cs="方正小标宋简体"/>
          <w:spacing w:val="-6"/>
          <w:sz w:val="36"/>
          <w:szCs w:val="36"/>
          <w:highlight w:val="none"/>
        </w:rPr>
        <w:t>绩效自评工作考核评分表</w:t>
      </w:r>
    </w:p>
    <w:tbl>
      <w:tblPr>
        <w:tblStyle w:val="7"/>
        <w:tblW w:w="9941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174"/>
        <w:gridCol w:w="5000"/>
        <w:gridCol w:w="30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一级指标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二级指标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评分标准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sz w:val="21"/>
                <w:szCs w:val="21"/>
                <w:highlight w:val="none"/>
              </w:rPr>
              <w:t>所需佐证材料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布置工作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自评通知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（8分）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印发绩效自评通知的得2分，否则不得分。</w:t>
            </w:r>
          </w:p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按照本规程规定，绩效自评通知包括自评范围、自评主要依据、自评主要内容、自评程序和步骤、有关要求等内容，并附有本通知要求的附件的，得6分；否则缺1项扣1分，最多扣6分。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绩效自评通知盖章的电子版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工作小组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成立绩效自评工作小组的得2分，否则不得分。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本部门、本单位预算绩效管理领导小组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  <w:lang w:val="en-US" w:eastAsia="zh-CN"/>
              </w:rPr>
              <w:t>/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绩效评价工作小组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有关</w:t>
            </w:r>
            <w:r>
              <w:rPr>
                <w:rFonts w:hint="default" w:ascii="Times New Roman" w:hAnsi="Times New Roman" w:eastAsia="仿宋_GB2312" w:cs="Times New Roman"/>
                <w:spacing w:val="0"/>
                <w:sz w:val="20"/>
                <w:szCs w:val="20"/>
                <w:highlight w:val="none"/>
              </w:rPr>
              <w:t>文件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盖章的电子版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实施评价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单位自查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5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预算部门本级和所属单位都要开展绩效自查，转移支付项目单位都要开展绩效自查，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县、区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级主管部门都要汇总本区域转移支付情况；以上各项每发现一个单位没有做相应工作的，扣1分，最多扣10分。</w:t>
            </w:r>
          </w:p>
        </w:tc>
        <w:tc>
          <w:tcPr>
            <w:tcW w:w="30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转移支付项目单位名称和资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金情况清单</w:t>
            </w:r>
          </w:p>
          <w:p>
            <w:pPr>
              <w:numPr>
                <w:ilvl w:val="0"/>
                <w:numId w:val="2"/>
              </w:num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有转移支付资金的各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县区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主管部门汇总情况的盖章PDF版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4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提交报告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（10分）</w:t>
            </w:r>
          </w:p>
        </w:tc>
        <w:tc>
          <w:tcPr>
            <w:tcW w:w="802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按时向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市财政局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报送报告的得10分；每推迟一个工作日报送报告的扣1分，最多扣10分。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0" w:hRule="atLeast"/>
          <w:jc w:val="center"/>
        </w:trPr>
        <w:tc>
          <w:tcPr>
            <w:tcW w:w="74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自评报告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70分</w:t>
            </w: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完整性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绩效自评报告正文部分内容齐全的，得8分；否则每少一个部分扣2分，最多扣8分。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绩效自评报告附件部分内容齐全的，得7分；否则每少一个部分扣2分，最多扣7分。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3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绩效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自评表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1、部门整体支出和项目支出绩效指标反映产出、效益、服务对象满意度方面的指标和预算执行率的权重符合《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eastAsia="zh-CN"/>
              </w:rPr>
              <w:t>岳阳市市级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预算部门绩效自评操作规程》要求的，得5分，否则按比例扣除相应的分数。</w:t>
            </w:r>
          </w:p>
          <w:p>
            <w:pPr>
              <w:spacing w:line="240" w:lineRule="auto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部门整体支出和项目支出绩效指标全部细化到三级指标的，得5分；部分细化的，酌情扣分；没有细化的，不得分。</w:t>
            </w:r>
          </w:p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3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.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部门整体支出和项目支出三级绩效指标内涵明确、具体、可衡量的得5分；突出核心指标，精简实用的得3分；指标与部门整体支出和项目支出密切相关，全面反映产出和效益的得2分；否则，每项酌情扣分，最多扣10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highlight w:val="none"/>
              </w:rPr>
            </w:pP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反映问</w:t>
            </w:r>
          </w:p>
          <w:p>
            <w:pPr>
              <w:spacing w:line="240" w:lineRule="auto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题情况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（20分）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从预算和预算绩效管理，部门履职效能，资金分配、使用和管理，资产和财务管理，政府采购等方面归纳问题、分析原因全面的，得20分；反映问题、分析原因较全面的，得16—18分；反映问题、分析原因不全面的，得13—15分；问题未归纳且过于简单的，得10—12分；只提出资金不足问题的不得分；其他情况酌情扣分。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74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</w:p>
        </w:tc>
        <w:tc>
          <w:tcPr>
            <w:tcW w:w="11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建议情况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（15分）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auto"/>
              <w:jc w:val="lef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建议与问题对应且全面的得15分，建议比较全面的得12—14分，建议不全面的得9—11分，建议过于简单的得6—8分，只提出加大资金投入建议的不得分；其他情况酌情扣分。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合计</w:t>
            </w:r>
          </w:p>
        </w:tc>
        <w:tc>
          <w:tcPr>
            <w:tcW w:w="11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</w:rPr>
              <w:t>100分</w:t>
            </w:r>
          </w:p>
        </w:tc>
        <w:tc>
          <w:tcPr>
            <w:tcW w:w="802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highlight w:val="none"/>
                <w:lang w:val="en-US" w:eastAsia="zh-CN"/>
              </w:rPr>
              <w:t>98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Lines="0" w:line="360" w:lineRule="auto"/>
        <w:ind w:right="0" w:rightChars="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A8D352"/>
    <w:multiLevelType w:val="singleLevel"/>
    <w:tmpl w:val="48A8D35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5DDF8822"/>
    <w:multiLevelType w:val="singleLevel"/>
    <w:tmpl w:val="5DDF88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Dg1MjQyMWM5NGNiNzE1YmE2OTlhMTU3MzM4MzAifQ=="/>
  </w:docVars>
  <w:rsids>
    <w:rsidRoot w:val="59886344"/>
    <w:rsid w:val="03597864"/>
    <w:rsid w:val="036216B5"/>
    <w:rsid w:val="04B44004"/>
    <w:rsid w:val="07DC141F"/>
    <w:rsid w:val="0C5D60B6"/>
    <w:rsid w:val="10796170"/>
    <w:rsid w:val="10BC46C0"/>
    <w:rsid w:val="13094AA5"/>
    <w:rsid w:val="13547AE7"/>
    <w:rsid w:val="13D61A1C"/>
    <w:rsid w:val="168E0F9D"/>
    <w:rsid w:val="185D7A31"/>
    <w:rsid w:val="186F154E"/>
    <w:rsid w:val="1B6765F2"/>
    <w:rsid w:val="1D6357BE"/>
    <w:rsid w:val="1F8E4CE0"/>
    <w:rsid w:val="1FA431B2"/>
    <w:rsid w:val="20362A4E"/>
    <w:rsid w:val="21132EE8"/>
    <w:rsid w:val="21A84623"/>
    <w:rsid w:val="223B2B5A"/>
    <w:rsid w:val="24C63360"/>
    <w:rsid w:val="261F7E95"/>
    <w:rsid w:val="2825407B"/>
    <w:rsid w:val="2D2C69E8"/>
    <w:rsid w:val="2EFC30B5"/>
    <w:rsid w:val="2FB67899"/>
    <w:rsid w:val="32D86C30"/>
    <w:rsid w:val="335079DD"/>
    <w:rsid w:val="340A3386"/>
    <w:rsid w:val="34745E56"/>
    <w:rsid w:val="35260E8C"/>
    <w:rsid w:val="364C66D0"/>
    <w:rsid w:val="3688482F"/>
    <w:rsid w:val="36E1072C"/>
    <w:rsid w:val="3AAF1381"/>
    <w:rsid w:val="3B046B78"/>
    <w:rsid w:val="3DAE7C70"/>
    <w:rsid w:val="3DCC00F6"/>
    <w:rsid w:val="3EA949A3"/>
    <w:rsid w:val="400B05F7"/>
    <w:rsid w:val="40E41BD8"/>
    <w:rsid w:val="41801923"/>
    <w:rsid w:val="46270E21"/>
    <w:rsid w:val="46B57D76"/>
    <w:rsid w:val="46BE415C"/>
    <w:rsid w:val="484566D6"/>
    <w:rsid w:val="4871646A"/>
    <w:rsid w:val="48895562"/>
    <w:rsid w:val="492E39C8"/>
    <w:rsid w:val="4B7F2C4C"/>
    <w:rsid w:val="53DA21AF"/>
    <w:rsid w:val="55276664"/>
    <w:rsid w:val="556012F3"/>
    <w:rsid w:val="57281A63"/>
    <w:rsid w:val="586C030E"/>
    <w:rsid w:val="59886344"/>
    <w:rsid w:val="5AC07DC2"/>
    <w:rsid w:val="5B310598"/>
    <w:rsid w:val="5FDB49AB"/>
    <w:rsid w:val="605A7513"/>
    <w:rsid w:val="6517411C"/>
    <w:rsid w:val="65DE3BB0"/>
    <w:rsid w:val="673D3495"/>
    <w:rsid w:val="675B77B9"/>
    <w:rsid w:val="67AE6E6A"/>
    <w:rsid w:val="699C28B0"/>
    <w:rsid w:val="69C67397"/>
    <w:rsid w:val="6B5864BC"/>
    <w:rsid w:val="6EDD3662"/>
    <w:rsid w:val="70383DAA"/>
    <w:rsid w:val="71087164"/>
    <w:rsid w:val="71730628"/>
    <w:rsid w:val="72630EE2"/>
    <w:rsid w:val="73232BFD"/>
    <w:rsid w:val="758842E0"/>
    <w:rsid w:val="78A65614"/>
    <w:rsid w:val="7A7F00D9"/>
    <w:rsid w:val="7ED10B84"/>
    <w:rsid w:val="DFEF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仿宋" w:hAnsi="仿宋" w:eastAsia="宋体" w:cs="Times New Roman"/>
      <w:kern w:val="0"/>
      <w:sz w:val="28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 w:firstLine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  <w:rPr>
      <w:rFonts w:eastAsia="宋体" w:cs="Times New Roman"/>
    </w:rPr>
  </w:style>
  <w:style w:type="paragraph" w:styleId="5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6">
    <w:name w:val="Body Text First Indent 2"/>
    <w:basedOn w:val="4"/>
    <w:qFormat/>
    <w:uiPriority w:val="0"/>
    <w:pPr>
      <w:spacing w:before="100" w:beforeAutospacing="1" w:after="0"/>
      <w:ind w:left="0" w:firstLine="420" w:firstLineChars="200"/>
    </w:pPr>
    <w:rPr>
      <w:rFonts w:ascii="Calibri" w:hAnsi="Calibri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4271</Words>
  <Characters>4579</Characters>
  <Lines>0</Lines>
  <Paragraphs>0</Paragraphs>
  <TotalTime>16</TotalTime>
  <ScaleCrop>false</ScaleCrop>
  <LinksUpToDate>false</LinksUpToDate>
  <CharactersWithSpaces>4736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2024-03-18T08:36:00Z</dcterms:created>
  <dc:creator>Administrator</dc:creator>
  <cp:lastModifiedBy>口天wu</cp:lastModifiedBy>
  <dcterms:modified xsi:type="dcterms:W3CDTF">2024-07-12T02:32:52Z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6182D3A10D564617983F46DEE354AEAF</vt:lpwstr>
  </property>
</Properties>
</file>