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olors1.xml" ContentType="application/vnd.ms-office.chartcolorstyle+xml"/>
  <Override PartName="/word/charts/style1.xml" ContentType="application/vnd.ms-office.chartstyle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theme/themeOverride1.xml" ContentType="application/vnd.openxmlformats-officedocument.themeOverrid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  <w:lang w:val="en-US" w:eastAsia="zh-CN"/>
        </w:rPr>
        <w:t>岳阳市君山区岳阳市君山区市场建设服务中心</w:t>
      </w: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  <w:lang w:val="en-US" w:eastAsia="zh-CN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6"/>
          <w:szCs w:val="36"/>
          <w:lang w:val="en-US" w:eastAsia="zh-CN"/>
        </w:rPr>
        <w:t>2024年部门预算公开</w:t>
      </w:r>
    </w:p>
    <w:p>
      <w:pPr>
        <w:spacing w:line="570" w:lineRule="atLeast"/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</w:p>
    <w:p>
      <w:pPr>
        <w:widowControl/>
        <w:spacing w:line="570" w:lineRule="atLeast"/>
        <w:jc w:val="center"/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</w:pPr>
      <w:r>
        <w:rPr>
          <w:rFonts w:hint="eastAsia" w:ascii="Times New Roman" w:hAnsi="Times New Roman" w:eastAsia="黑体" w:cs="Times New Roman"/>
          <w:b/>
          <w:kern w:val="0"/>
          <w:sz w:val="36"/>
          <w:szCs w:val="36"/>
        </w:rPr>
        <w:t>目 录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第一部分 2024年部门预算说明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一、部门基本概况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五、政府性基金预算支出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六、其他重要事项的情况说明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七、名词解释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sz w:val="28"/>
          <w:szCs w:val="28"/>
        </w:rPr>
      </w:pPr>
      <w:r>
        <w:rPr>
          <w:rFonts w:hint="eastAsia" w:ascii="黑体" w:hAnsi="黑体" w:eastAsia="黑体" w:cs="黑体"/>
          <w:b/>
          <w:bCs/>
          <w:kern w:val="0"/>
          <w:sz w:val="32"/>
          <w:szCs w:val="32"/>
        </w:rPr>
        <w:t>第二部分 2024年部门预算表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1、收支总表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2、收入总表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3、支出总表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4、支出预算分类汇总表（按政府预算经济分类）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5、支出预算分类汇总表（按部门预算经济分类）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6、财政拨款收支总表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7、一般公共预算支出表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8、一般公共预算基本支出表-人员经费（工资福利支出）（按政府预算经济分类）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9、一般公共预算基本支出表-人员经费（工资福利支出）（按部门预算经济分类）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10、一般公共预算基本支出表-人员经费（对个人和家庭的补助）（按政府预算经济分类）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11、一般公共预算基本支出表-人员经费（对个人和家庭的补助）（按部门预算经济分类）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12、一般公共预算基本支出表-公用经费（商品和服务支出）（按政府预算经济分类）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13、一般公共预算基本支出表-公用经费（商品和服务支出）（按部门预算经济分类）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14、一般公共预算“三公”经费支出表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15、政府性基金预算支出表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16、政府性基金预算支出分类汇总表（按政府预算经济分类）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17、政府性基金预算支出分类汇总表（按部门预算经济分类）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18、国有资本经营预算支出表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19、财政专户管理资金预算支出表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20、专项资金预算汇总表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21、项目支出绩效目标表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22、部门整体支出绩效目标表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23、一般公共预算基本支出表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</w:rPr>
        <w:t>注：以上部门预算公开报表中，空表表示本部门无相关收支情况。</w:t>
      </w:r>
    </w:p>
    <w:p>
      <w:pPr>
        <w:jc w:val="center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</w:p>
    <w:p>
      <w:pPr>
        <w:jc w:val="center"/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</w:pPr>
      <w:r>
        <w:rPr>
          <w:rFonts w:hint="eastAsia" w:ascii="Times New Roman" w:hAnsi="Times New Roman" w:eastAsia="方正小标宋_GBK" w:cs="Times New Roman"/>
          <w:b/>
          <w:bCs/>
          <w:kern w:val="0"/>
          <w:sz w:val="36"/>
          <w:szCs w:val="36"/>
        </w:rPr>
        <w:t>第一部分 部门预算公开说明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</w:pP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一、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部门</w:t>
      </w: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</w:rPr>
        <w:t>基本概况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（一）职能职责</w:t>
      </w:r>
    </w:p>
    <w:p>
      <w:pPr>
        <w:spacing w:line="570" w:lineRule="atLeast"/>
        <w:ind w:firstLine="640" w:firstLineChars="200"/>
        <w:rPr>
          <w:rFonts w:hint="default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eastAsia="仿宋_GB2312"/>
          <w:sz w:val="32"/>
          <w:szCs w:val="32"/>
        </w:rPr>
        <w:t>本单位是为广大个体工商户和菜农服务。物业管理和摊位出租。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（二）机构设置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岳阳市君山区市场建设服务中心内设机构1个。内设机构包括：</w:t>
      </w:r>
      <w:r>
        <w:rPr>
          <w:rFonts w:hint="eastAsia" w:eastAsia="仿宋_GB2312"/>
          <w:sz w:val="32"/>
          <w:szCs w:val="32"/>
        </w:rPr>
        <w:t>综合办公室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。</w:t>
      </w:r>
      <w:r>
        <w:rPr>
          <w:rFonts w:hint="eastAsia" w:eastAsia="仿宋_GB2312"/>
          <w:sz w:val="32"/>
          <w:szCs w:val="32"/>
        </w:rPr>
        <w:t>核定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市场建设服务中心</w:t>
      </w:r>
      <w:r>
        <w:rPr>
          <w:rFonts w:hint="eastAsia" w:eastAsia="仿宋_GB2312"/>
          <w:sz w:val="32"/>
          <w:szCs w:val="32"/>
          <w:lang w:val="en-US" w:eastAsia="zh-CN"/>
        </w:rPr>
        <w:t>差</w:t>
      </w:r>
      <w:r>
        <w:rPr>
          <w:rFonts w:hint="eastAsia" w:eastAsia="仿宋_GB2312"/>
          <w:sz w:val="32"/>
          <w:szCs w:val="32"/>
        </w:rPr>
        <w:t>额拨款事业编制</w:t>
      </w:r>
      <w:r>
        <w:rPr>
          <w:rFonts w:hint="eastAsia" w:eastAsia="仿宋_GB2312"/>
          <w:sz w:val="32"/>
          <w:szCs w:val="32"/>
          <w:lang w:val="en-US" w:eastAsia="zh-CN"/>
        </w:rPr>
        <w:t>5</w:t>
      </w:r>
      <w:r>
        <w:rPr>
          <w:rFonts w:hint="eastAsia" w:eastAsia="仿宋_GB2312"/>
          <w:sz w:val="32"/>
          <w:szCs w:val="32"/>
        </w:rPr>
        <w:t>名</w:t>
      </w:r>
      <w:r>
        <w:rPr>
          <w:rFonts w:hint="eastAsia" w:eastAsia="仿宋_GB2312"/>
          <w:sz w:val="32"/>
          <w:szCs w:val="32"/>
          <w:lang w:eastAsia="zh-CN"/>
        </w:rPr>
        <w:t>。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 xml:space="preserve">    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  <w:t>二、部门预算单位构成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bookmarkStart w:id="0" w:name="DEPT_COMPOSE"/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岳阳市君山区市场建设服务中心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只有本级，没有其他二级预算单位，因此，纳入2024年部门预算编制范围的只有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岳阳市君山区市场建设服务中心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本级。</w:t>
      </w:r>
      <w:bookmarkEnd w:id="0"/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highlight w:val="none"/>
          <w:lang w:val="en-US" w:eastAsia="zh-CN"/>
        </w:rPr>
        <w:t>三、部门收支总体情况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单位2024年没有政府性基金预算拨款、国有资本经营预算收入和纳入专户管理的非税收入拨款收入，也没有使用政府性基金预算拨款、国有资本经营预算收入和纳入专户管理的非税收入拨款安排的支出，所以部门预算公开表1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5、16、17、18、19表均为空。</w:t>
      </w:r>
    </w:p>
    <w:p>
      <w:pPr>
        <w:numPr>
          <w:ilvl w:val="0"/>
          <w:numId w:val="1"/>
        </w:num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收入预算：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包括一般公共预算、政府性基金、国有资本经营预算等财政拨款收入，以及经营收入、事业收入等单位资金。2024年本单位收入预算74.23万元，其中，一般公共预算拨款74.23万元，政府性基金预算资金0.00万元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，国有资本经营预算资金0.00万元，财政专户管理资金0.00万元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，上级补助收入资金0.00万元，事业单位经营收入资金0.00万元，上年结转结余0.00万元。收入较上年减少0.94万元，主要原因为厉行节约，压缩了业务工作经费项目支出预算。</w:t>
      </w: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  <w:r>
        <w:drawing>
          <wp:inline distT="0" distB="0" distL="114300" distR="114300">
            <wp:extent cx="4826000" cy="2743200"/>
            <wp:effectExtent l="4445" t="4445" r="8255" b="52705"/>
            <wp:docPr id="8" name="图表 7" descr="7b0a202020202263686172745265734964223a20223230343736303933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>
      <w:pPr>
        <w:numPr>
          <w:ilvl w:val="0"/>
          <w:numId w:val="1"/>
        </w:numPr>
        <w:spacing w:line="570" w:lineRule="atLeast"/>
        <w:ind w:left="0" w:leftChars="0"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支出预算：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2024年本单位支出预算74.23万元，其中：一般公共服务支出69.54万元，社会保障和就业支出4.52万元，卫生健康支出0.17万元。支出较上年减少0.94万元，主要原因为厉行节约，压缩了业务工作经费项目支出预算。</w:t>
      </w:r>
    </w:p>
    <w:p>
      <w:pPr>
        <w:pStyle w:val="2"/>
        <w:numPr>
          <w:ilvl w:val="0"/>
          <w:numId w:val="0"/>
        </w:numPr>
        <w:rPr>
          <w:rFonts w:hint="eastAsia"/>
          <w:lang w:val="en-US" w:eastAsia="zh-CN"/>
        </w:rPr>
      </w:pPr>
      <w:r>
        <w:drawing>
          <wp:inline distT="0" distB="0" distL="114300" distR="114300">
            <wp:extent cx="4596765" cy="3001010"/>
            <wp:effectExtent l="4445" t="4445" r="8890" b="23495"/>
            <wp:docPr id="2" name="图表 1" descr="7b0a202020202263686172745265734964223a20223230343735353931220a7d0a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四、一般公共预算拨款支出</w:t>
      </w:r>
    </w:p>
    <w:p>
      <w:pPr>
        <w:spacing w:line="570" w:lineRule="atLeast"/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2024年本单位一般公共预算拨款支出74.23万元，其中：社会保障和就业支出4.52万元，占6.09%；一般公共服务支出69.54万元，占93.68%；卫生健康支出0.17万元，占0.23%。具体安排情况如下：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（一）基本支出：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2024年本单位基本支出预算数35.53万元，主要是为保障单位正常运转、完成日常工作任务而发生的各项支出，包括用于基本工资、津贴补贴等人员经费以及办公费、印刷费、水电费、办公设备购置等公用经费。</w:t>
      </w:r>
    </w:p>
    <w:p>
      <w:pPr>
        <w:spacing w:line="570" w:lineRule="atLeast"/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（二）项目支出：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2024年本单位项目支出预算38.7万元，主要是本单位为完成特定工作任务或事业发展目标而发生的支出，包括业务工作经费等，其中：一般公共服务支出38.7万元，主要用于工作运转、市场日常维护管理。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五、政府性基金预算支出</w:t>
      </w:r>
    </w:p>
    <w:p>
      <w:pPr>
        <w:ind w:firstLine="640" w:firstLineChars="200"/>
        <w:rPr>
          <w:rFonts w:hint="eastAsia" w:asciiTheme="minorEastAsia" w:hAnsiTheme="minorEastAsia" w:eastAsiaTheme="minorEastAsia" w:cstheme="minorEastAsia"/>
          <w:i w:val="0"/>
          <w:iCs w:val="0"/>
          <w:caps w:val="0"/>
          <w:color w:val="333333"/>
          <w:spacing w:val="0"/>
          <w:sz w:val="28"/>
          <w:szCs w:val="28"/>
          <w:shd w:val="clear" w:fill="FFFFFF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2024年度本单位无政府性基金安排的支出，所以公开的附件15-17（政府性基金预算）为空。</w:t>
      </w:r>
    </w:p>
    <w:p>
      <w:pPr>
        <w:ind w:firstLine="643" w:firstLineChars="200"/>
        <w:rPr>
          <w:rFonts w:hint="eastAsia" w:asciiTheme="minorEastAsia" w:hAnsiTheme="minorEastAsia" w:eastAsiaTheme="minorEastAsia" w:cstheme="minorEastAsia"/>
          <w:b/>
          <w:bCs/>
          <w:sz w:val="28"/>
          <w:szCs w:val="28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六、其他重要事项的情况说明</w:t>
      </w:r>
    </w:p>
    <w:p>
      <w:pPr>
        <w:widowControl/>
        <w:spacing w:line="600" w:lineRule="exact"/>
        <w:ind w:firstLine="660"/>
        <w:jc w:val="left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（一）机关运行经费：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2024年市场建设服务中心机关运行经费0万元，与上年预算持平。主要原因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是</w:t>
      </w:r>
      <w:r>
        <w:rPr>
          <w:rFonts w:hint="eastAsia" w:eastAsia="仿宋_GB2312"/>
          <w:sz w:val="32"/>
          <w:szCs w:val="32"/>
        </w:rPr>
        <w:t>君山区市场建设服务中心为事业单位，</w:t>
      </w:r>
      <w:r>
        <w:rPr>
          <w:rFonts w:hint="eastAsia" w:eastAsia="仿宋_GB2312"/>
          <w:sz w:val="32"/>
          <w:szCs w:val="32"/>
          <w:lang w:eastAsia="zh-CN"/>
        </w:rPr>
        <w:t>没有安排</w:t>
      </w:r>
      <w:r>
        <w:rPr>
          <w:rFonts w:hint="eastAsia" w:eastAsia="仿宋_GB2312"/>
          <w:sz w:val="32"/>
          <w:szCs w:val="32"/>
        </w:rPr>
        <w:t>机关运行经费预算。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（二）“三公”经费预算：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“三公”经费预算数为0万元，其中，公务接待费0万元，公务用车购置及运行费0万元（其中，公务用车购置费0万元，公务用车运行费0万元），因公出国（境）费0万元。2024年“三公”经费预算较2023年基本持平，主要原因是2024年没有安排“三公”经费预算。</w:t>
      </w:r>
      <w:bookmarkStart w:id="1" w:name="END_IS_ZERO_06_1"/>
      <w:bookmarkEnd w:id="1"/>
      <w:bookmarkStart w:id="2" w:name="DIS_MARK_IS_ZERO_06_2"/>
      <w:bookmarkEnd w:id="2"/>
      <w:bookmarkStart w:id="3" w:name="START_IS_ZERO_06_2"/>
      <w:bookmarkEnd w:id="3"/>
      <w:bookmarkStart w:id="4" w:name="END_IS_ZERO_06_2"/>
      <w:bookmarkEnd w:id="4"/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（三）一般性支出情况：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2024年本部门会议费预算0万元，拟召开0次会议，人数0人；培训费预算0万元，拟开展0次培训，人数0人；2024年度本部门未计划举办节庆、晚会、论坛、赛事活动，经费预算0万元。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（四）政府采购情况：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2024年本单位政府采购预算总额7.1万元，其中，货物类采购预算1.5万元；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工程类采购预算0万元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；服务类采购预算5.6万元。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 w:firstLine="643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（五）国有资产占用使用及新增资产配置情况：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截至2023年12月底，本单位共有公务用车0辆，其中，机要通信用车0辆，应急保障用车0辆，执法执勤用车0辆，特种专业技术用车0辆，其他按照规定配备的公务用车0辆；单位价值50万元以上设备0台，其中，单位价值100万元以上设备0台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right="0" w:firstLine="640" w:firstLineChars="200"/>
        <w:jc w:val="both"/>
        <w:textAlignment w:val="center"/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shd w:val="clear" w:color="auto" w:fill="FFFFFF"/>
          <w:lang w:val="en-US" w:eastAsia="zh-CN" w:bidi="ar-SA"/>
        </w:rPr>
        <w:t>2024年拟新增配置公务用车0辆，其中，机要通信用车0辆，应急保障用车0辆，执法执勤用车0辆，特种专业技术用车0辆，其他按照规定配备的公务用车0辆；新增配备单位价值50万元以上设备0台，其中，单位价值100万元以上设备0台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（六）预算绩效目标说明：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highlight w:val="none"/>
          <w:shd w:val="clear" w:color="auto" w:fill="FFFFFF"/>
          <w:lang w:val="en-US" w:eastAsia="zh-CN"/>
        </w:rPr>
        <w:t>本单位所有支出实行绩效目标管理。纳入2024年单位整体支出绩效目标的金额为74.23万元，其中，基本支出35.53万元，项目支出38.7万元，具体绩效目标详见文尾附表中部门预算公开表21-22表。</w:t>
      </w:r>
    </w:p>
    <w:p>
      <w:pPr>
        <w:ind w:firstLine="643" w:firstLineChars="200"/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</w:pPr>
      <w:r>
        <w:rPr>
          <w:rFonts w:hint="eastAsia" w:ascii="Times New Roman" w:hAnsi="Times New Roman" w:eastAsia="黑体" w:cs="Times New Roman"/>
          <w:b/>
          <w:bCs/>
          <w:kern w:val="0"/>
          <w:sz w:val="32"/>
          <w:szCs w:val="32"/>
          <w:lang w:val="en-US" w:eastAsia="zh-CN"/>
        </w:rPr>
        <w:t>七、名词解释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1．机关运行经费：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是指各部门的公用经费，包括办公及印刷费、邮电费、差旅费、会议费、福利费、日常维修费、专用资料及一般设备购置费、办公用房水电费、办公用房取暖费、办公用房物业管理费、公务用车运行维护费以及其他费用。</w:t>
      </w:r>
    </w:p>
    <w:p>
      <w:pPr>
        <w:ind w:firstLine="643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2．“三公”经费：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纳入省（市/县）财政预算管理的“三公“经费，是指用一般公共预算拨款安排的公务接待费、公务用车购置及运行维护费和因公出国（境）费。其中，公务接待费反映单位按规定开支的各类公务接待支出；公务用车购置及运行费反映单位公务用车车辆购置支出（含车辆购置税），以及燃料费、维修费、保险费等支出；因公出国（境）费反映单位公务出国（境）的国际旅费、国外城市间交通费、住宿费、伙食费、培训费、公杂费等支出。</w:t>
      </w: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</w:p>
    <w:p>
      <w:pPr>
        <w:pStyle w:val="3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 w:line="22" w:lineRule="atLeast"/>
        <w:ind w:left="0" w:right="0"/>
        <w:jc w:val="center"/>
        <w:textAlignment w:val="center"/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</w:pPr>
      <w:bookmarkStart w:id="5" w:name="_GoBack"/>
      <w:bookmarkEnd w:id="5"/>
      <w:r>
        <w:rPr>
          <w:rFonts w:hint="eastAsia" w:ascii="方正小标宋简体" w:hAnsi="Times New Roman" w:eastAsia="方正小标宋简体" w:cs="Times New Roman"/>
          <w:b/>
          <w:bCs/>
          <w:kern w:val="0"/>
          <w:sz w:val="36"/>
          <w:szCs w:val="36"/>
          <w:lang w:val="en-US" w:eastAsia="zh-CN" w:bidi="ar-SA"/>
        </w:rPr>
        <w:t>第二部分  2024年部门预算公开表格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1、收支总表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2、收入总表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3、支出总表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4、支出预算分类汇总表（按政府预算经济分类）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5、支出预算分类汇总表（按部门预算经济分类）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6、财政拨款收支总表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7、一般公共预算支出表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8、一般公共预算基本支出表-人员经费（工资福利支出）（按政府预算经济分类）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9、一般公共预算基本支出表-人员经费（工资福利支出）（按部门预算经济分类）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10、一般公共预算基本支出表-人员经费（对个人和家庭的补助）（按政府预算经济分类）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11、一般公共预算基本支出表-人员经费（对个人和家庭的补助）（按部门预算经济分类）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12、一般公共预算基本支出表-公用经费（商品和服务支出）（按政府预算经济分类）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13、一般公共预算基本支出表-公用经费（商品和服务支出）（按部门预算经济分类）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14、一般公共预算“三公”经费支出表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15、政府性基金预算支出表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16、政府性基金预算支出分类汇总表（按政府预算经济分类）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17、政府性基金预算支出分类汇总表（按部门预算经济分类）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18、国有资本经营预算支出表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19、财政专户管理资金预算支出表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20、专项资金预算汇总表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21、项目支出绩效目标表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22、部门整体支出绩效目标表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23、一般公共预算基本支出表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  <w:t>注：以上部门预算公开报表中，空表表示本单位无相关收支情况。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</w:p>
    <w:p>
      <w:pPr>
        <w:ind w:firstLine="643" w:firstLineChars="200"/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  <w:shd w:val="clear" w:color="auto" w:fill="FFFFFF"/>
          <w:lang w:val="en-US" w:eastAsia="zh-CN"/>
        </w:rPr>
        <w:t>附件：岳阳市君山区市场建设服务中心2024年部门预算公开表</w:t>
      </w:r>
    </w:p>
    <w:p>
      <w:pPr>
        <w:ind w:firstLine="640" w:firstLineChars="200"/>
        <w:rPr>
          <w:rFonts w:hint="eastAsia" w:ascii="仿宋_GB2312" w:hAnsi="仿宋_GB2312" w:eastAsia="仿宋_GB2312" w:cs="仿宋_GB2312"/>
          <w:color w:val="000000"/>
          <w:sz w:val="32"/>
          <w:szCs w:val="32"/>
          <w:shd w:val="clear" w:color="auto" w:fill="FFFFFF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2010601030101010101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57CC3CBB"/>
    <w:multiLevelType w:val="singleLevel"/>
    <w:tmpl w:val="57CC3CBB"/>
    <w:lvl w:ilvl="0" w:tentative="0">
      <w:start w:val="1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RhMjdlZjQ5YjRhZjNkYTU5MWJjNTdiM2YyYzk4OWIifQ=="/>
  </w:docVars>
  <w:rsids>
    <w:rsidRoot w:val="637274E6"/>
    <w:rsid w:val="01EC3E90"/>
    <w:rsid w:val="02140C7A"/>
    <w:rsid w:val="046523F8"/>
    <w:rsid w:val="088363E7"/>
    <w:rsid w:val="0AD8381E"/>
    <w:rsid w:val="0B172D74"/>
    <w:rsid w:val="0B5218A1"/>
    <w:rsid w:val="0B653E82"/>
    <w:rsid w:val="0E042561"/>
    <w:rsid w:val="0F2A3A2C"/>
    <w:rsid w:val="10797237"/>
    <w:rsid w:val="155C220E"/>
    <w:rsid w:val="16042156"/>
    <w:rsid w:val="16247C45"/>
    <w:rsid w:val="165B05D6"/>
    <w:rsid w:val="167C1082"/>
    <w:rsid w:val="192632E6"/>
    <w:rsid w:val="1B6F1962"/>
    <w:rsid w:val="1C744CBF"/>
    <w:rsid w:val="1C914169"/>
    <w:rsid w:val="1F572E39"/>
    <w:rsid w:val="1F8154A2"/>
    <w:rsid w:val="20034AD4"/>
    <w:rsid w:val="21866997"/>
    <w:rsid w:val="22767EB0"/>
    <w:rsid w:val="22861ED8"/>
    <w:rsid w:val="247A27D5"/>
    <w:rsid w:val="24BC6675"/>
    <w:rsid w:val="27562CA6"/>
    <w:rsid w:val="286F1B1C"/>
    <w:rsid w:val="28D728F5"/>
    <w:rsid w:val="2A5727A7"/>
    <w:rsid w:val="2B3247EE"/>
    <w:rsid w:val="2DC518B5"/>
    <w:rsid w:val="2E9372BE"/>
    <w:rsid w:val="30F54535"/>
    <w:rsid w:val="328F1D91"/>
    <w:rsid w:val="36214EDF"/>
    <w:rsid w:val="381B50EC"/>
    <w:rsid w:val="395E7E49"/>
    <w:rsid w:val="397874DE"/>
    <w:rsid w:val="398C704B"/>
    <w:rsid w:val="3A486D41"/>
    <w:rsid w:val="3A8338BF"/>
    <w:rsid w:val="3CB10683"/>
    <w:rsid w:val="3E4B1963"/>
    <w:rsid w:val="40731651"/>
    <w:rsid w:val="40BA4B7E"/>
    <w:rsid w:val="42E3660E"/>
    <w:rsid w:val="4601059C"/>
    <w:rsid w:val="4602087F"/>
    <w:rsid w:val="4748485A"/>
    <w:rsid w:val="4AFC64BF"/>
    <w:rsid w:val="4B2120CE"/>
    <w:rsid w:val="4BBE358A"/>
    <w:rsid w:val="4E514D65"/>
    <w:rsid w:val="4EE728E7"/>
    <w:rsid w:val="4F0307B2"/>
    <w:rsid w:val="4F302902"/>
    <w:rsid w:val="52077AEA"/>
    <w:rsid w:val="55E76771"/>
    <w:rsid w:val="58AA6296"/>
    <w:rsid w:val="58AF2EC0"/>
    <w:rsid w:val="5A13112F"/>
    <w:rsid w:val="5BC30933"/>
    <w:rsid w:val="5DC12353"/>
    <w:rsid w:val="5EFF5C25"/>
    <w:rsid w:val="5FC74240"/>
    <w:rsid w:val="60B42209"/>
    <w:rsid w:val="637274E6"/>
    <w:rsid w:val="63991934"/>
    <w:rsid w:val="63E65795"/>
    <w:rsid w:val="65B57FA7"/>
    <w:rsid w:val="66C22DFC"/>
    <w:rsid w:val="675A13CF"/>
    <w:rsid w:val="682C3048"/>
    <w:rsid w:val="6B1B73BC"/>
    <w:rsid w:val="6F4B168B"/>
    <w:rsid w:val="70F118E0"/>
    <w:rsid w:val="71704C61"/>
    <w:rsid w:val="719F6C19"/>
    <w:rsid w:val="78CC0C1A"/>
    <w:rsid w:val="7AE949AB"/>
    <w:rsid w:val="7D266D66"/>
    <w:rsid w:val="7E7E59CE"/>
    <w:rsid w:val="7EE93B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3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chart" Target="charts/chart2.xml"/><Relationship Id="rId4" Type="http://schemas.openxmlformats.org/officeDocument/2006/relationships/chart" Target="charts/chart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themeOverride" Target="../theme/themeOverride1.xml"/><Relationship Id="rId1" Type="http://schemas.openxmlformats.org/officeDocument/2006/relationships/oleObject" Target="file:///d:\Documents\WeChat%20Files\wxid_8uktj8qci1hc22\FileStorage\File\2024-05\&#25910;&#20837;&#39044;&#31639;&#22270;.xlsx" TargetMode="External"/></Relationships>
</file>

<file path=word/charts/_rels/chart2.xml.rels><?xml version="1.0" encoding="UTF-8" standalone="yes"?>
<Relationships xmlns="http://schemas.openxmlformats.org/package/2006/relationships"><Relationship Id="rId3" Type="http://schemas.microsoft.com/office/2011/relationships/chartColorStyle" Target="colors1.xml"/><Relationship Id="rId2" Type="http://schemas.microsoft.com/office/2011/relationships/chartStyle" Target="style1.xml"/><Relationship Id="rId1" Type="http://schemas.openxmlformats.org/officeDocument/2006/relationships/oleObject" Target="file:///d:\Documents\WeChat%20Files\wxid_8uktj8qci1hc22\FileStorage\File\2024-05\&#25910;&#20837;&#39044;&#31639;&#22270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0" vertOverflow="ellipsis" vert="horz" wrap="square" anchor="ctr" anchorCtr="1" forceAA="0"/>
          <a:lstStyle/>
          <a:p>
            <a:pPr>
              <a:defRPr lang="zh-CN" sz="1400" b="0" i="0" u="none" strike="noStrike" kern="1200" spc="0" baseline="0">
                <a:solidFill>
                  <a:schemeClr val="tx1"/>
                </a:solidFill>
                <a:latin typeface="+mn-lt"/>
                <a:ea typeface="+mn-ea"/>
                <a:cs typeface="+mn-cs"/>
              </a:defRPr>
            </a:pPr>
            <a:r>
              <a:t>收入预算图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25"/>
      <c:rotY val="0"/>
      <c:depthPercent val="100"/>
      <c:rAngAx val="0"/>
      <c:perspective val="20"/>
    </c:view3D>
    <c:floor>
      <c:thickness val="0"/>
    </c:floor>
    <c:sideWall>
      <c:thickness val="0"/>
    </c:sideWall>
    <c:backWall>
      <c:thickness val="0"/>
    </c:backWall>
    <c:plotArea>
      <c:layout/>
      <c:pie3DChart>
        <c:varyColors val="1"/>
        <c:ser>
          <c:idx val="0"/>
          <c:order val="0"/>
          <c:spPr>
            <a:ln w="15875" cmpd="sng">
              <a:solidFill>
                <a:schemeClr val="bg1"/>
              </a:solidFill>
              <a:prstDash val="solid"/>
            </a:ln>
            <a:effectLst/>
            <a:scene3d>
              <a:camera prst="orthographicFront"/>
              <a:lightRig rig="threePt" dir="t"/>
            </a:scene3d>
            <a:sp3d contourW="15875" prstMaterial="flat"/>
          </c:spPr>
          <c:explosion val="0"/>
          <c:dPt>
            <c:idx val="0"/>
            <c:bubble3D val="0"/>
            <c:spPr>
              <a:gradFill>
                <a:gsLst>
                  <a:gs pos="0">
                    <a:schemeClr val="accent1">
                      <a:lumMod val="60000"/>
                      <a:lumOff val="40000"/>
                    </a:schemeClr>
                  </a:gs>
                  <a:gs pos="70000">
                    <a:schemeClr val="accent1"/>
                  </a:gs>
                </a:gsLst>
                <a:lin ang="13500000" scaled="0"/>
              </a:gradFill>
              <a:ln w="15875" cmpd="sng">
                <a:solidFill>
                  <a:schemeClr val="accent1">
                    <a:lumMod val="75000"/>
                  </a:schemeClr>
                </a:solidFill>
                <a:prstDash val="solid"/>
              </a:ln>
              <a:effectLst/>
              <a:scene3d>
                <a:camera prst="orthographicFront"/>
                <a:lightRig rig="threePt" dir="t"/>
              </a:scene3d>
              <a:sp3d contourW="15875" prstMaterial="flat"/>
            </c:spPr>
          </c:dPt>
          <c:dLbls>
            <c:dLbl>
              <c:idx val="0"/>
              <c:layout/>
              <c:numFmt formatCode="General" sourceLinked="1"/>
              <c:spPr>
                <a:noFill/>
                <a:ln>
                  <a:noFill/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 forceAA="0"/>
                <a:lstStyle/>
                <a:p>
                  <a:pPr>
                    <a:defRPr lang="zh-CN" sz="900" b="0" i="0" u="none" strike="noStrike" kern="1200" baseline="0">
                      <a:solidFill>
                        <a:schemeClr val="bg1"/>
                      </a:solidFill>
                      <a:effectLst>
                        <a:outerShdw blurRad="50800" dist="38100" dir="2700000" algn="tl" rotWithShape="0">
                          <a:prstClr val="black">
                            <a:alpha val="40000"/>
                          </a:prstClr>
                        </a:outerShdw>
                      </a:effectLst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inEnd"/>
              <c:showLegendKey val="0"/>
              <c:showVal val="0"/>
              <c:showCatName val="0"/>
              <c:showSerName val="0"/>
              <c:showPercent val="1"/>
              <c:showBubbleSize val="0"/>
              <c:extLst>
                <c:ext xmlns:c15="http://schemas.microsoft.com/office/drawing/2012/chart" uri="{CE6537A1-D6FC-4f65-9D91-7224C49458BB}"/>
              </c:extLst>
            </c:dLbl>
            <c:numFmt formatCode="General" sourceLinked="1"/>
            <c:spPr>
              <a:noFill/>
              <a:ln>
                <a:noFill/>
              </a:ln>
              <a:effectLst/>
            </c:spPr>
            <c:txPr>
              <a:bodyPr rot="0" spcFirstLastPara="0" vertOverflow="ellipsis" vert="horz" wrap="square" lIns="38100" tIns="19050" rIns="38100" bIns="19050" anchor="ctr" anchorCtr="1" forceAA="0"/>
              <a:lstStyle/>
              <a:p>
                <a:pPr>
                  <a:defRPr lang="zh-CN" sz="900" b="0" i="0" u="none" strike="noStrike" kern="1200" baseline="0">
                    <a:solidFill>
                      <a:schemeClr val="bg1"/>
                    </a:solidFill>
                    <a:effectLst>
                      <a:outerShdw blurRad="50800" dist="38100" dir="2700000" algn="tl" rotWithShape="0">
                        <a:prstClr val="black">
                          <a:alpha val="40000"/>
                        </a:prstClr>
                      </a:outerShdw>
                    </a:effectLst>
                    <a:latin typeface="+mn-lt"/>
                    <a:ea typeface="+mn-ea"/>
                    <a:cs typeface="+mn-cs"/>
                  </a:defRPr>
                </a:pPr>
              </a:p>
            </c:txPr>
            <c:dLblPos val="inEnd"/>
            <c:showLegendKey val="0"/>
            <c:showVal val="0"/>
            <c:showCatName val="0"/>
            <c:showSerName val="0"/>
            <c:showPercent val="1"/>
            <c:showBubbleSize val="0"/>
            <c:showLeaderLines val="1"/>
            <c:extLst>
              <c:ext xmlns:c15="http://schemas.microsoft.com/office/drawing/2012/chart" uri="{CE6537A1-D6FC-4f65-9D91-7224C49458BB}">
                <c15:layout/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prstDash val="solid"/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extLst>
                <c:ext xmlns:c15="http://schemas.microsoft.com/office/drawing/2012/chart" uri="{02D57815-91ED-43cb-92C2-25804820EDAC}">
                  <c15:fullRef>
                    <c15:sqref>[收入预算图.xlsx]Sheet1!$B$31:$B$32</c15:sqref>
                  </c15:fullRef>
                </c:ext>
              </c:extLst>
              <c:f>[收入预算图.xlsx]Sheet1!$B$31</c:f>
              <c:strCache>
                <c:ptCount val="1"/>
                <c:pt idx="0">
                  <c:v>一般公共预算拨款收入</c:v>
                </c:pt>
              </c:strCache>
            </c:strRef>
          </c:cat>
          <c:val>
            <c:numRef>
              <c:extLst>
                <c:ext xmlns:c15="http://schemas.microsoft.com/office/drawing/2012/chart" uri="{02D57815-91ED-43cb-92C2-25804820EDAC}">
                  <c15:fullRef>
                    <c15:sqref>Sheet1!$C$31:$C$32</c15:sqref>
                  </c15:fullRef>
                </c:ext>
              </c:extLst>
              <c:f>[收入预算图.xlsx]Sheet1!$C$31</c:f>
              <c:numCache>
                <c:formatCode>0%</c:formatCode>
                <c:ptCount val="1"/>
                <c:pt idx="0">
                  <c:v>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r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 forceAA="0"/>
        <a:lstStyle/>
        <a:p>
          <a:pPr>
            <a:defRPr lang="zh-CN" sz="900" b="0" i="0" u="none" strike="noStrike" kern="1200" baseline="0">
              <a:solidFill>
                <a:schemeClr val="tx1">
                  <a:lumMod val="50000"/>
                  <a:lumOff val="50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bg1">
          <a:lumMod val="85000"/>
        </a:schemeClr>
      </a:solidFill>
      <a:prstDash val="solid"/>
      <a:round/>
    </a:ln>
    <a:effectLst>
      <a:outerShdw blurRad="63500" dist="37357" dir="2700000" sx="0" sy="0" rotWithShape="0">
        <a:scrgbClr r="0" g="0" b="0"/>
      </a:outerShdw>
    </a:effectLst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zh-CN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0" vertOverflow="ellipsis" vert="horz" wrap="square" anchor="ctr" anchorCtr="1"/>
          <a:lstStyle/>
          <a:p>
            <a:pPr>
              <a:defRPr lang="zh-CN" sz="1400" b="1" i="0" u="none" strike="noStrike" kern="1200" baseline="0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t>支出预算图</a:t>
            </a:r>
          </a:p>
        </c:rich>
      </c:tx>
      <c:layout/>
      <c:overlay val="0"/>
      <c:spPr>
        <a:noFill/>
        <a:ln>
          <a:noFill/>
        </a:ln>
        <a:effectLst/>
      </c:spPr>
    </c:title>
    <c:autoTitleDeleted val="0"/>
    <c:view3D>
      <c:rotX val="30"/>
      <c:rotY val="0"/>
      <c:depthPercent val="100"/>
      <c:rAngAx val="0"/>
    </c:view3D>
    <c:floor>
      <c:thickness val="0"/>
      <c:spPr>
        <a:noFill/>
        <a:effectLst/>
      </c:spPr>
    </c:floor>
    <c:sideWall>
      <c:thickness val="0"/>
      <c:spPr>
        <a:noFill/>
        <a:effectLst/>
      </c:spPr>
    </c:sideWall>
    <c:backWall>
      <c:thickness val="0"/>
      <c:spPr>
        <a:noFill/>
        <a:effectLst/>
      </c:spPr>
    </c:backWall>
    <c:plotArea>
      <c:layout>
        <c:manualLayout>
          <c:layoutTarget val="inner"/>
          <c:xMode val="edge"/>
          <c:yMode val="edge"/>
          <c:x val="0.0908882442326288"/>
          <c:y val="0.298870080406263"/>
          <c:w val="0.826511949164249"/>
          <c:h val="0.612797291578502"/>
        </c:manualLayout>
      </c:layout>
      <c:pie3DChart>
        <c:varyColors val="1"/>
        <c:ser>
          <c:idx val="0"/>
          <c:order val="0"/>
          <c:spPr>
            <a:scene3d>
              <a:camera prst="orthographicFront"/>
              <a:lightRig rig="threePt" dir="t"/>
            </a:scene3d>
            <a:sp3d contourW="9525"/>
          </c:spPr>
          <c:explosion val="0"/>
          <c:dPt>
            <c:idx val="0"/>
            <c:bubble3D val="0"/>
            <c:spPr>
              <a:gradFill>
                <a:gsLst>
                  <a:gs pos="100000">
                    <a:schemeClr val="accent1"/>
                  </a:gs>
                  <a:gs pos="0">
                    <a:schemeClr val="accent1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1">
                        <a:lumMod val="75000"/>
                      </a:schemeClr>
                    </a:gs>
                    <a:gs pos="0">
                      <a:schemeClr val="accent1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1"/>
            <c:bubble3D val="0"/>
            <c:spPr>
              <a:gradFill>
                <a:gsLst>
                  <a:gs pos="100000">
                    <a:schemeClr val="accent2"/>
                  </a:gs>
                  <a:gs pos="0">
                    <a:schemeClr val="accent2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2">
                        <a:lumMod val="75000"/>
                      </a:schemeClr>
                    </a:gs>
                    <a:gs pos="0">
                      <a:schemeClr val="accent2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2"/>
            <c:bubble3D val="0"/>
            <c:spPr>
              <a:gradFill>
                <a:gsLst>
                  <a:gs pos="100000">
                    <a:schemeClr val="accent3"/>
                  </a:gs>
                  <a:gs pos="0">
                    <a:schemeClr val="accent3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3">
                        <a:lumMod val="75000"/>
                      </a:schemeClr>
                    </a:gs>
                    <a:gs pos="0">
                      <a:schemeClr val="accent3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Pt>
            <c:idx val="3"/>
            <c:bubble3D val="0"/>
            <c:spPr>
              <a:gradFill>
                <a:gsLst>
                  <a:gs pos="100000">
                    <a:schemeClr val="accent4"/>
                  </a:gs>
                  <a:gs pos="0">
                    <a:schemeClr val="accent4">
                      <a:hueOff val="-1670000"/>
                    </a:schemeClr>
                  </a:gs>
                </a:gsLst>
                <a:lin ang="5400000" scaled="0"/>
              </a:gradFill>
              <a:ln>
                <a:gradFill>
                  <a:gsLst>
                    <a:gs pos="100000">
                      <a:schemeClr val="accent4">
                        <a:lumMod val="75000"/>
                      </a:schemeClr>
                    </a:gs>
                    <a:gs pos="0">
                      <a:schemeClr val="accent4">
                        <a:lumMod val="75000"/>
                        <a:hueOff val="-1670000"/>
                      </a:schemeClr>
                    </a:gs>
                  </a:gsLst>
                  <a:lin ang="4620000" scaled="0"/>
                </a:gradFill>
              </a:ln>
              <a:effectLst/>
            </c:spPr>
          </c:dPt>
          <c:dLbls>
            <c:dLbl>
              <c:idx val="0"/>
              <c:layout>
                <c:manualLayout>
                  <c:x val="-0.179236265986983"/>
                  <c:y val="-0.0133886496940555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1"/>
              <c:layout>
                <c:manualLayout>
                  <c:x val="-0.00870677353996511"/>
                  <c:y val="-0.0723128019323671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2"/>
              <c:layout>
                <c:manualLayout>
                  <c:x val="-0.130597809552784"/>
                  <c:y val="-0.0692934782608696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dLbl>
              <c:idx val="3"/>
              <c:layout>
                <c:manualLayout>
                  <c:x val="-0.240660118818549"/>
                  <c:y val="0.0108389392220462"/>
                </c:manualLayout>
              </c:layout>
              <c:numFmt formatCode="0.00%" sourceLinked="0"/>
              <c:spPr>
                <a:solidFill>
                  <a:sysClr val="window" lastClr="FFFFFF"/>
                </a:solidFill>
                <a:ln>
                  <a:solidFill>
                    <a:sysClr val="windowText" lastClr="000000">
                      <a:lumMod val="65000"/>
                      <a:lumOff val="35000"/>
                    </a:sysClr>
                  </a:solidFill>
                </a:ln>
                <a:effectLst/>
              </c:spPr>
              <c:txPr>
                <a:bodyPr rot="0" spcFirstLastPara="0" vertOverflow="ellipsis" vert="horz" wrap="square" lIns="38100" tIns="19050" rIns="38100" bIns="19050" anchor="ctr" anchorCtr="1"/>
                <a:lstStyle/>
                <a:p>
                  <a:pPr>
                    <a:defRPr lang="zh-CN" sz="1000" b="0" i="0" u="none" strike="noStrike" kern="1200" baseline="0">
                      <a:solidFill>
                        <a:schemeClr val="dk1">
                          <a:lumMod val="75000"/>
                          <a:lumOff val="25000"/>
                        </a:schemeClr>
                      </a:solidFill>
                      <a:latin typeface="+mn-lt"/>
                      <a:ea typeface="+mn-ea"/>
                      <a:cs typeface="+mn-cs"/>
                    </a:defRPr>
                  </a:pPr>
                </a:p>
              </c:txPr>
              <c:dLblPos val="bestFit"/>
              <c:showLegendKey val="0"/>
              <c:showVal val="0"/>
              <c:showCatName val="1"/>
              <c:showSerName val="0"/>
              <c:showPercent val="1"/>
              <c:showBubbleSize val="0"/>
              <c:separator> </c:separator>
              <c:extLst>
                <c:ext xmlns:c15="http://schemas.microsoft.com/office/drawing/2012/chart" uri="{CE6537A1-D6FC-4f65-9D91-7224C49458BB}">
                  <c15:layout/>
                </c:ext>
              </c:extLst>
            </c:dLbl>
            <c:numFmt formatCode="0.00%" sourceLinked="0"/>
            <c:spPr>
              <a:solidFill>
                <a:sysClr val="window" lastClr="FFFFFF"/>
              </a:solidFill>
              <a:ln>
                <a:solidFill>
                  <a:sysClr val="windowText" lastClr="000000">
                    <a:lumMod val="65000"/>
                    <a:lumOff val="35000"/>
                  </a:sysClr>
                </a:solidFill>
              </a:ln>
              <a:effectLst/>
            </c:spPr>
            <c:txPr>
              <a:bodyPr rot="0" spcFirstLastPara="0" vertOverflow="ellipsis" vert="horz" wrap="square" lIns="38100" tIns="19050" rIns="38100" bIns="19050" anchor="ctr" anchorCtr="1"/>
              <a:lstStyle/>
              <a:p>
                <a:pPr>
                  <a:defRPr lang="zh-CN" sz="1000" b="0" i="0" u="none" strike="noStrike" kern="1200" baseline="0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</a:p>
            </c:txPr>
            <c:dLblPos val="outEnd"/>
            <c:showLegendKey val="0"/>
            <c:showVal val="0"/>
            <c:showCatName val="1"/>
            <c:showSerName val="0"/>
            <c:showPercent val="1"/>
            <c:showBubbleSize val="0"/>
            <c:separator> </c:separator>
            <c:showLeaderLines val="1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oundRect">
                    <a:avLst/>
                  </a:prstGeom>
                  <a:noFill/>
                  <a:ln>
                    <a:noFill/>
                  </a:ln>
                </c15:spPr>
                <c15:layout/>
                <c15:showLeaderLines val="1"/>
                <c15:leaderLines>
                  <c:spPr>
                    <a:ln w="9525">
                      <a:solidFill>
                        <a:schemeClr val="dk1">
                          <a:lumMod val="35000"/>
                          <a:lumOff val="65000"/>
                        </a:schemeClr>
                      </a:solidFill>
                    </a:ln>
                    <a:effectLst/>
                  </c:spPr>
                </c15:leaderLines>
              </c:ext>
            </c:extLst>
          </c:dLbls>
          <c:cat>
            <c:strRef>
              <c:f>[收入预算图.xlsx]Sheet1!$B$2:$B$5</c:f>
              <c:strCache>
                <c:ptCount val="4"/>
                <c:pt idx="0">
                  <c:v>社会保障和就业支出</c:v>
                </c:pt>
                <c:pt idx="1">
                  <c:v>卫生健康支出</c:v>
                </c:pt>
                <c:pt idx="2">
                  <c:v>一般公共服务支出</c:v>
                </c:pt>
              </c:strCache>
            </c:strRef>
          </c:cat>
          <c:val>
            <c:numRef>
              <c:f>[收入预算图.xlsx]Sheet1!$C$2:$C$5</c:f>
              <c:numCache>
                <c:formatCode>0.00%</c:formatCode>
                <c:ptCount val="4"/>
                <c:pt idx="0">
                  <c:v>0.0609</c:v>
                </c:pt>
                <c:pt idx="1">
                  <c:v>0.0023</c:v>
                </c:pt>
                <c:pt idx="2">
                  <c:v>0.9368</c:v>
                </c:pt>
              </c:numCache>
            </c:numRef>
          </c:val>
        </c:ser>
        <c:dLbls>
          <c:showLegendKey val="0"/>
          <c:showVal val="0"/>
          <c:showCatName val="1"/>
          <c:showSerName val="0"/>
          <c:showPercent val="1"/>
          <c:showBubbleSize val="0"/>
        </c:dLbls>
      </c:pie3DChart>
      <c:spPr>
        <a:noFill/>
        <a:ln>
          <a:noFill/>
        </a:ln>
        <a:effectLst/>
      </c:spPr>
    </c:plotArea>
    <c:legend>
      <c:legendPos val="t"/>
      <c:layout/>
      <c:overlay val="0"/>
      <c:spPr>
        <a:noFill/>
        <a:ln>
          <a:noFill/>
        </a:ln>
        <a:effectLst/>
      </c:spPr>
      <c:txPr>
        <a:bodyPr rot="0" spcFirstLastPara="0" vertOverflow="ellipsis" vert="horz" wrap="square" anchor="ctr" anchorCtr="1"/>
        <a:lstStyle/>
        <a:p>
          <a:pPr>
            <a:defRPr lang="zh-CN" sz="900" b="0" i="0" u="none" strike="noStrike" kern="1200" baseline="0">
              <a:solidFill>
                <a:schemeClr val="dk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</a:p>
      </c:txPr>
    </c:legend>
    <c:plotVisOnly val="1"/>
    <c:dispBlanksAs val="gap"/>
    <c:showDLblsOverMax val="0"/>
  </c:chart>
  <c:spPr>
    <a:solidFill>
      <a:schemeClr val="lt1">
        <a:lumMod val="96000"/>
      </a:schemeClr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 lang="zh-CN"/>
      </a:pPr>
    </a:p>
  </c:txPr>
  <c:externalData r:id="rId1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10097">
  <cs:axisTitle>
    <cs:lnRef idx="0"/>
    <cs:fillRef idx="0"/>
    <cs:effectRef idx="0"/>
    <cs:fontRef idx="minor">
      <a:schemeClr val="dk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dk1">
        <a:lumMod val="65000"/>
        <a:lumOff val="35000"/>
      </a:schemeClr>
    </cs:fontRef>
    <cs:spPr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lt1">
          <a:lumMod val="96000"/>
        </a:schemeClr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dk1">
        <a:lumMod val="75000"/>
        <a:lumOff val="25000"/>
      </a:schemeClr>
    </cs:fontRef>
    <cs:defRPr sz="10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10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>
      <cs:styleClr val="auto"/>
    </cs:lnRef>
    <cs:fillRef idx="0">
      <cs:styleClr val="auto"/>
    </cs:fillRef>
    <cs:effectRef idx="0"/>
    <cs:fontRef idx="minor">
      <a:schemeClr val="dk1"/>
    </cs:fontRef>
    <cs:spPr>
      <a:gradFill>
        <a:gsLst>
          <a:gs pos="100000">
            <a:schemeClr val="phClr"/>
          </a:gs>
          <a:gs pos="0">
            <a:schemeClr val="phClr">
              <a:hueOff val="-1670000"/>
            </a:schemeClr>
          </a:gs>
        </a:gsLst>
        <a:lin ang="5400000" scaled="0"/>
      </a:gradFill>
      <a:ln>
        <a:gradFill>
          <a:gsLst>
            <a:gs pos="100000">
              <a:schemeClr val="phClr">
                <a:lumMod val="75000"/>
              </a:schemeClr>
            </a:gs>
            <a:gs pos="0">
              <a:schemeClr val="phClr">
                <a:lumMod val="75000"/>
                <a:hueOff val="-1670000"/>
              </a:schemeClr>
            </a:gs>
          </a:gsLst>
          <a:lin ang="4620000" scaled="0"/>
        </a:gradFill>
      </a:ln>
      <a:effectLst/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dk1">
        <a:lumMod val="65000"/>
        <a:lumOff val="35000"/>
      </a:schemeClr>
    </cs:fontRef>
    <cs:spPr>
      <a:noFill/>
      <a:ln w="9525" cap="flat" cmpd="sng" algn="ctr">
        <a:solidFill>
          <a:schemeClr val="dk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dk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lt1">
            <a:lumMod val="902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75000"/>
            <a:lumOff val="25000"/>
          </a:schemeClr>
        </a:solidFill>
      </a:ln>
    </cs:spPr>
  </cs:hiLoLine>
  <cs:leader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leaderLine>
  <cs:legend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>
        <a:solidFill>
          <a:schemeClr val="dk1">
            <a:lumMod val="35000"/>
            <a:lumOff val="65000"/>
          </a:schemeClr>
        </a:solidFill>
      </a:ln>
    </cs:spPr>
  </cs:seriesLine>
  <cs:title>
    <cs:lnRef idx="0"/>
    <cs:fillRef idx="0"/>
    <cs:effectRef idx="0"/>
    <cs:fontRef idx="minor">
      <a:schemeClr val="dk1">
        <a:lumMod val="75000"/>
        <a:lumOff val="25000"/>
      </a:schemeClr>
    </cs:fontRef>
    <cs:defRPr sz="1400" b="1" kern="120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dk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word/theme/themeOverride1.xml><?xml version="1.0" encoding="utf-8"?>
<a:themeOverride xmlns:a="http://schemas.openxmlformats.org/drawingml/2006/main">
  <a:clrScheme name="自定义 6">
    <a:dk1>
      <a:srgbClr val="000000"/>
    </a:dk1>
    <a:lt1>
      <a:srgbClr val="FFFFFF"/>
    </a:lt1>
    <a:dk2>
      <a:srgbClr val="0C0E1F"/>
    </a:dk2>
    <a:lt2>
      <a:srgbClr val="FEFFFF"/>
    </a:lt2>
    <a:accent1>
      <a:srgbClr val="54C9FA"/>
    </a:accent1>
    <a:accent2>
      <a:srgbClr val="6C92FD"/>
    </a:accent2>
    <a:accent3>
      <a:srgbClr val="FF731F"/>
    </a:accent3>
    <a:accent4>
      <a:srgbClr val="16CC8A"/>
    </a:accent4>
    <a:accent5>
      <a:srgbClr val="FFC619"/>
    </a:accent5>
    <a:accent6>
      <a:srgbClr val="4E37FF"/>
    </a:accent6>
    <a:hlink>
      <a:srgbClr val="304FFE"/>
    </a:hlink>
    <a:folHlink>
      <a:srgbClr val="492067"/>
    </a:folHlink>
  </a:clrScheme>
  <a:fontScheme name="自定义 2">
    <a:majorFont>
      <a:latin typeface="微软雅黑"/>
      <a:ea typeface="微软雅黑"/>
      <a:cs typeface=""/>
    </a:majorFont>
    <a:minorFont>
      <a:latin typeface="微软雅黑"/>
      <a:ea typeface="微软雅黑"/>
      <a:cs typeface=""/>
    </a:minorFont>
  </a:fontScheme>
  <a:fmtScheme name="Office">
    <a:fillStyleLst>
      <a:solidFill>
        <a:schemeClr val="phClr"/>
      </a:solidFill>
      <a:gradFill rotWithShape="1">
        <a:gsLst>
          <a:gs pos="0">
            <a:schemeClr val="phClr">
              <a:lumMod val="110000"/>
              <a:satMod val="105000"/>
              <a:tint val="67000"/>
            </a:schemeClr>
          </a:gs>
          <a:gs pos="50000">
            <a:schemeClr val="phClr">
              <a:lumMod val="105000"/>
              <a:satMod val="103000"/>
              <a:tint val="73000"/>
            </a:schemeClr>
          </a:gs>
          <a:gs pos="100000">
            <a:schemeClr val="phClr">
              <a:lumMod val="105000"/>
              <a:satMod val="109000"/>
              <a:tint val="81000"/>
            </a:schemeClr>
          </a:gs>
        </a:gsLst>
        <a:lin ang="5400000" scaled="0"/>
      </a:gradFill>
      <a:gradFill rotWithShape="1">
        <a:gsLst>
          <a:gs pos="0">
            <a:schemeClr val="phClr">
              <a:satMod val="103000"/>
              <a:lumMod val="102000"/>
              <a:tint val="94000"/>
            </a:schemeClr>
          </a:gs>
          <a:gs pos="50000">
            <a:schemeClr val="phClr">
              <a:satMod val="110000"/>
              <a:lumMod val="100000"/>
              <a:shade val="100000"/>
            </a:schemeClr>
          </a:gs>
          <a:gs pos="100000">
            <a:schemeClr val="phClr">
              <a:lumMod val="99000"/>
              <a:satMod val="120000"/>
              <a:shade val="78000"/>
            </a:schemeClr>
          </a:gs>
        </a:gsLst>
        <a:lin ang="5400000" scaled="0"/>
      </a:gradFill>
    </a:fillStyleLst>
    <a:lnStyleLst>
      <a:ln w="6350" cap="flat" cmpd="sng" algn="ctr">
        <a:solidFill>
          <a:schemeClr val="phClr"/>
        </a:solidFill>
        <a:prstDash val="solid"/>
        <a:miter lim="800000"/>
      </a:ln>
      <a:ln w="12700" cap="flat" cmpd="sng" algn="ctr">
        <a:solidFill>
          <a:schemeClr val="phClr"/>
        </a:solidFill>
        <a:prstDash val="solid"/>
        <a:miter lim="800000"/>
      </a:ln>
      <a:ln w="19050" cap="flat" cmpd="sng" algn="ctr">
        <a:solidFill>
          <a:schemeClr val="phClr"/>
        </a:solidFill>
        <a:prstDash val="solid"/>
        <a:miter lim="800000"/>
      </a:ln>
    </a:lnStyleLst>
    <a:effectStyleLst>
      <a:effectStyle>
        <a:effectLst/>
      </a:effectStyle>
      <a:effectStyle>
        <a:effectLst/>
      </a:effectStyle>
      <a:effectStyle>
        <a:effectLst>
          <a:outerShdw blurRad="57150" dist="19050" dir="5400000" algn="ctr" rotWithShape="0">
            <a:srgbClr val="000000">
              <a:alpha val="63000"/>
            </a:srgbClr>
          </a:outerShdw>
        </a:effectLst>
      </a:effectStyle>
    </a:effectStyleLst>
    <a:bgFillStyleLst>
      <a:solidFill>
        <a:schemeClr val="phClr"/>
      </a:solidFill>
      <a:solidFill>
        <a:schemeClr val="phClr">
          <a:tint val="95000"/>
          <a:satMod val="170000"/>
        </a:schemeClr>
      </a:solidFill>
      <a:gradFill rotWithShape="1">
        <a:gsLst>
          <a:gs pos="0">
            <a:schemeClr val="phClr">
              <a:tint val="93000"/>
              <a:satMod val="150000"/>
              <a:shade val="98000"/>
              <a:lumMod val="102000"/>
            </a:schemeClr>
          </a:gs>
          <a:gs pos="50000">
            <a:schemeClr val="phClr">
              <a:tint val="98000"/>
              <a:satMod val="130000"/>
              <a:shade val="90000"/>
              <a:lumMod val="103000"/>
            </a:schemeClr>
          </a:gs>
          <a:gs pos="100000">
            <a:schemeClr val="phClr">
              <a:shade val="63000"/>
              <a:satMod val="120000"/>
            </a:schemeClr>
          </a:gs>
        </a:gsLst>
        <a:lin ang="5400000" scaled="0"/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11</Pages>
  <Words>3095</Words>
  <Characters>3312</Characters>
  <Lines>0</Lines>
  <Paragraphs>0</Paragraphs>
  <TotalTime>3</TotalTime>
  <ScaleCrop>false</ScaleCrop>
  <LinksUpToDate>false</LinksUpToDate>
  <CharactersWithSpaces>3322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2024-05-22T14:39:00Z</dcterms:created>
  <dc:creator>dell</dc:creator>
  <cp:lastModifiedBy>Administrator</cp:lastModifiedBy>
  <dcterms:modified xsi:type="dcterms:W3CDTF">2024-06-09T14:33:26Z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7DC4FFA305694D7DB09EA0837A4BA099_13</vt:lpwstr>
  </property>
</Properties>
</file>