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bookmarkStart w:id="1" w:name="_GoBack"/>
      <w:bookmarkEnd w:id="1"/>
    </w:p>
    <w:p>
      <w:pPr>
        <w:spacing w:line="570" w:lineRule="atLeas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岳阳</w:t>
      </w:r>
      <w:r>
        <w:rPr>
          <w:rFonts w:hint="eastAsia" w:ascii="黑体" w:hAnsi="黑体" w:eastAsia="黑体" w:cs="黑体"/>
          <w:b/>
          <w:bCs/>
          <w:sz w:val="44"/>
          <w:szCs w:val="44"/>
        </w:rPr>
        <w:t>市</w:t>
      </w:r>
      <w:r>
        <w:rPr>
          <w:rFonts w:hint="eastAsia" w:ascii="黑体" w:hAnsi="黑体" w:eastAsia="黑体" w:cs="黑体"/>
          <w:b/>
          <w:bCs/>
          <w:sz w:val="44"/>
          <w:szCs w:val="44"/>
          <w:lang w:val="en-US" w:eastAsia="zh-CN"/>
        </w:rPr>
        <w:t>君山区自然资源局</w:t>
      </w:r>
    </w:p>
    <w:p>
      <w:pPr>
        <w:spacing w:line="570" w:lineRule="atLeast"/>
        <w:jc w:val="center"/>
        <w:rPr>
          <w:rFonts w:hint="eastAsia" w:ascii="黑体" w:hAnsi="黑体" w:eastAsia="黑体" w:cs="黑体"/>
          <w:b/>
          <w:bCs/>
          <w:sz w:val="48"/>
          <w:szCs w:val="48"/>
        </w:rPr>
      </w:pPr>
      <w:r>
        <w:rPr>
          <w:rFonts w:hint="eastAsia" w:ascii="黑体" w:hAnsi="黑体" w:eastAsia="黑体" w:cs="黑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numPr>
          <w:ilvl w:val="0"/>
          <w:numId w:val="0"/>
        </w:numPr>
        <w:spacing w:line="60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1、依法履行全民所有土地、矿产、森林、草原、湿地、水等自然资源资产所有者职责和国土空间用途管制职责。</w:t>
      </w:r>
    </w:p>
    <w:p>
      <w:pPr>
        <w:widowControl/>
        <w:numPr>
          <w:ilvl w:val="0"/>
          <w:numId w:val="0"/>
        </w:numPr>
        <w:spacing w:line="60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2、负责自然资源调查监测评价。依照自然资源调查监测评价指标体系、统计标准，实施自然资源基础调查、专项调查和监测。负责自然资源调查监测评价成果的监督管理和信息发布。指导全</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自然资源调查监测评价工作。</w:t>
      </w:r>
    </w:p>
    <w:p>
      <w:pPr>
        <w:widowControl/>
        <w:numPr>
          <w:ilvl w:val="0"/>
          <w:numId w:val="0"/>
        </w:numPr>
        <w:spacing w:line="60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负责自然资源统一确权登记工作。制定各类自然资源和不动产统一确权登记、权籍调查、测绘、信息、争议调处、成果应用等制度。建立健全全</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自然资源和不动产登记信息管理基础平台。负责自然资源和不动产登记资料收集、整理、共享、汇交管理等。指导监督全</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自然资源和不动产确权登记工作。</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、负责自然资源的合理开发利用。严格执行国家、省、市有关自然资源合理开发利用的政策规定。负责自然资源市场监管。研究自然资源管理涉及宏观调控、区域协调和城乡统筹的政策措施。</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、负责建立国土空间规划体系并监督实施。开展城市发展战略研究、国土空间规划研究和全域自然资源管控研究；推进主体功能区战略和制度，组织编制国土空间规划和相关专项规划；负责</w:t>
      </w:r>
      <w:r>
        <w:rPr>
          <w:rFonts w:hint="eastAsia" w:ascii="仿宋_GB2312" w:hAnsi="仿宋_GB2312" w:eastAsia="仿宋_GB2312" w:cs="仿宋_GB2312"/>
          <w:b w:val="0"/>
          <w:bCs/>
          <w:sz w:val="32"/>
          <w:szCs w:val="32"/>
          <w:lang w:eastAsia="zh-CN"/>
        </w:rPr>
        <w:t>君山区</w:t>
      </w:r>
      <w:r>
        <w:rPr>
          <w:rFonts w:hint="eastAsia" w:ascii="仿宋_GB2312" w:hAnsi="仿宋_GB2312" w:eastAsia="仿宋_GB2312" w:cs="仿宋_GB2312"/>
          <w:b w:val="0"/>
          <w:bCs/>
          <w:sz w:val="32"/>
          <w:szCs w:val="32"/>
        </w:rPr>
        <w:t>国土空间规划实施管理；组织划定生态保护红线、永久基本农田、城镇开发边界等控制线，构建节约资源和自然和谐的生产、生活、生态空间布局；开展国土空间开发适宜性评价，建立国土空间规划实施监测、评估和预警体系；建立健全国土空间用途管制制度；负责土地等国土空间用途转用工作；负责国有土地使用权收回工作和土地征收征用管理。</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、负责制定国土空间规划编制计划和近期建设规划，制定土地利用及储备供应、矿产资源保护利用、基础测绘、新增建设用地等年度计划，并组织实施；参与城市发展年度建设计划及实施工作。</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、负责统筹国土空间生态修复。牵头组织编制国土空间生态修复规划并实施有关生态修复重大工程。负责国土空间综合整治、土地整理复垦、矿山地质环境恢复治理、统筹山水林田湖草生态系统修复治理等工作。</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负责组织实施最严格的耕地保护制度。牵头实施耕地保护政策，负责耕地数量和生态保护，做好耕地质量保护有关工作。组织实施耕地保护责任目标考核和永久基本农田特殊保护。负责耕地占补平衡管理，落实占用耕地补偿制度，监督占用耕地补偿制度执行情况。</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负责地质灾害预防和治理。组织开展地质调查评价工作；负责落实综合防灾减灾规划相关要求，组织编制地质灾害防治规划和防护标准并指导实施。组织指导协调和监督地质灾害调查评价及隐患普查、详查、排查。指导开展群测群防、专业监测和预报预警等工作，指导开展地质灾害工程治理工作。承担地质灾害应急救援的技术支撑工作。</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、负责矿产资源管理工作。负责矿产资源储量管理及压覆矿产资源管理。负责矿业权管理。会同有关部门承担保护性开釆的特定矿种、优势矿产的调控及相关管理工作。监督指导矿产资源合理利用和保护。</w:t>
      </w:r>
    </w:p>
    <w:p>
      <w:pPr>
        <w:widowControl/>
        <w:numPr>
          <w:ilvl w:val="0"/>
          <w:numId w:val="0"/>
        </w:numPr>
        <w:spacing w:line="600" w:lineRule="exact"/>
        <w:ind w:lef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11</w:t>
      </w:r>
      <w:r>
        <w:rPr>
          <w:rFonts w:hint="eastAsia" w:ascii="仿宋_GB2312" w:hAnsi="仿宋_GB2312" w:eastAsia="仿宋_GB2312" w:cs="仿宋_GB2312"/>
          <w:b w:val="0"/>
          <w:bCs/>
          <w:sz w:val="32"/>
          <w:szCs w:val="32"/>
        </w:rPr>
        <w:t>、负责测绘地理信息管理工作。负责</w:t>
      </w:r>
      <w:r>
        <w:rPr>
          <w:rFonts w:hint="eastAsia" w:ascii="仿宋_GB2312" w:hAnsi="仿宋_GB2312" w:eastAsia="仿宋_GB2312" w:cs="仿宋_GB2312"/>
          <w:b w:val="0"/>
          <w:bCs/>
          <w:sz w:val="32"/>
          <w:szCs w:val="32"/>
          <w:lang w:eastAsia="zh-CN"/>
        </w:rPr>
        <w:t>基础</w:t>
      </w:r>
      <w:r>
        <w:rPr>
          <w:rFonts w:hint="eastAsia" w:ascii="仿宋_GB2312" w:hAnsi="仿宋_GB2312" w:eastAsia="仿宋_GB2312" w:cs="仿宋_GB2312"/>
          <w:b w:val="0"/>
          <w:bCs/>
          <w:sz w:val="32"/>
          <w:szCs w:val="32"/>
        </w:rPr>
        <w:t>测绘和测绘行业管理。负责测绘资质审核与信用管理，监督管理地理信息安全、测绘市场秩序。负责地图管理、地理信息公共服务工作。负责测量标志保护。承担地理空间数据的汇集整合、提供使用和共享工作。</w:t>
      </w:r>
    </w:p>
    <w:p>
      <w:pPr>
        <w:widowControl/>
        <w:numPr>
          <w:ilvl w:val="0"/>
          <w:numId w:val="0"/>
        </w:numPr>
        <w:spacing w:line="600" w:lineRule="exact"/>
        <w:ind w:leftChars="0" w:firstLine="640" w:firstLineChars="200"/>
        <w:jc w:val="lef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12、负责田长制相关工作。</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岳阳市君山区自然资源局</w:t>
      </w:r>
      <w:r>
        <w:rPr>
          <w:rFonts w:hint="eastAsia" w:ascii="仿宋_GB2312" w:hAnsi="仿宋_GB2312" w:eastAsia="仿宋_GB2312" w:cs="仿宋_GB2312"/>
          <w:bCs/>
          <w:kern w:val="0"/>
          <w:sz w:val="32"/>
          <w:szCs w:val="32"/>
        </w:rPr>
        <w:t>内设机构</w:t>
      </w:r>
      <w:r>
        <w:rPr>
          <w:rFonts w:hint="eastAsia" w:ascii="仿宋_GB2312" w:hAnsi="仿宋_GB2312" w:eastAsia="仿宋_GB2312" w:cs="仿宋_GB2312"/>
          <w:bCs/>
          <w:kern w:val="0"/>
          <w:sz w:val="32"/>
          <w:szCs w:val="32"/>
          <w:lang w:val="en-US" w:eastAsia="zh-CN"/>
        </w:rPr>
        <w:t>6个，事业单位2个。内设机构</w:t>
      </w:r>
      <w:r>
        <w:rPr>
          <w:rFonts w:hint="eastAsia" w:ascii="仿宋_GB2312" w:hAnsi="仿宋_GB2312" w:eastAsia="仿宋_GB2312" w:cs="仿宋_GB2312"/>
          <w:bCs/>
          <w:kern w:val="0"/>
          <w:sz w:val="32"/>
          <w:szCs w:val="32"/>
        </w:rPr>
        <w:t>包括：</w:t>
      </w:r>
      <w:r>
        <w:rPr>
          <w:rFonts w:hint="eastAsia" w:ascii="仿宋_GB2312" w:hAnsi="仿宋_GB2312" w:eastAsia="仿宋_GB2312" w:cs="仿宋_GB2312"/>
          <w:bCs/>
          <w:kern w:val="0"/>
          <w:sz w:val="32"/>
          <w:szCs w:val="32"/>
          <w:lang w:eastAsia="zh-CN"/>
        </w:rPr>
        <w:t>综合办公室（人事</w:t>
      </w:r>
      <w:r>
        <w:rPr>
          <w:rFonts w:hint="eastAsia" w:ascii="仿宋_GB2312" w:hAnsi="仿宋_GB2312" w:eastAsia="仿宋_GB2312" w:cs="仿宋_GB2312"/>
          <w:bCs/>
          <w:kern w:val="0"/>
          <w:sz w:val="32"/>
          <w:szCs w:val="32"/>
        </w:rPr>
        <w:t>财务股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、法规股</w:t>
      </w:r>
      <w:r>
        <w:rPr>
          <w:rFonts w:hint="eastAsia" w:ascii="仿宋_GB2312" w:hAnsi="仿宋_GB2312" w:eastAsia="仿宋_GB2312" w:cs="仿宋_GB2312"/>
          <w:bCs/>
          <w:kern w:val="0"/>
          <w:sz w:val="32"/>
          <w:szCs w:val="32"/>
          <w:lang w:eastAsia="zh-CN"/>
        </w:rPr>
        <w:t>（执法监察大队）</w:t>
      </w:r>
      <w:r>
        <w:rPr>
          <w:rFonts w:hint="eastAsia" w:ascii="仿宋_GB2312" w:hAnsi="仿宋_GB2312" w:eastAsia="仿宋_GB2312" w:cs="仿宋_GB2312"/>
          <w:bCs/>
          <w:kern w:val="0"/>
          <w:sz w:val="32"/>
          <w:szCs w:val="32"/>
        </w:rPr>
        <w:t>、耕地保护监督股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国土空间生态修复股、自然资源</w:t>
      </w:r>
      <w:r>
        <w:rPr>
          <w:rFonts w:hint="eastAsia" w:ascii="仿宋_GB2312" w:hAnsi="仿宋_GB2312" w:eastAsia="仿宋_GB2312" w:cs="仿宋_GB2312"/>
          <w:bCs/>
          <w:kern w:val="0"/>
          <w:sz w:val="32"/>
          <w:szCs w:val="32"/>
          <w:lang w:eastAsia="zh-CN"/>
        </w:rPr>
        <w:t>调查</w:t>
      </w:r>
      <w:r>
        <w:rPr>
          <w:rFonts w:hint="eastAsia" w:ascii="仿宋_GB2312" w:hAnsi="仿宋_GB2312" w:eastAsia="仿宋_GB2312" w:cs="仿宋_GB2312"/>
          <w:bCs/>
          <w:kern w:val="0"/>
          <w:sz w:val="32"/>
          <w:szCs w:val="32"/>
        </w:rPr>
        <w:t>确权登记股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、国土空间</w:t>
      </w:r>
      <w:r>
        <w:rPr>
          <w:rFonts w:hint="eastAsia" w:ascii="仿宋_GB2312" w:hAnsi="仿宋_GB2312" w:eastAsia="仿宋_GB2312" w:cs="仿宋_GB2312"/>
          <w:bCs/>
          <w:kern w:val="0"/>
          <w:sz w:val="32"/>
          <w:szCs w:val="32"/>
          <w:lang w:eastAsia="zh-CN"/>
        </w:rPr>
        <w:t>开发利用</w:t>
      </w:r>
      <w:r>
        <w:rPr>
          <w:rFonts w:hint="eastAsia" w:ascii="仿宋_GB2312" w:hAnsi="仿宋_GB2312" w:eastAsia="仿宋_GB2312" w:cs="仿宋_GB2312"/>
          <w:bCs/>
          <w:kern w:val="0"/>
          <w:sz w:val="32"/>
          <w:szCs w:val="32"/>
        </w:rPr>
        <w:t>股</w:t>
      </w:r>
      <w:r>
        <w:rPr>
          <w:rFonts w:hint="eastAsia" w:ascii="仿宋_GB2312" w:hAnsi="仿宋_GB2312" w:eastAsia="仿宋_GB2312" w:cs="仿宋_GB2312"/>
          <w:bCs/>
          <w:kern w:val="0"/>
          <w:sz w:val="32"/>
          <w:szCs w:val="32"/>
          <w:lang w:eastAsia="zh-CN"/>
        </w:rPr>
        <w:t>（行政审批股）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国土空间规划股（</w:t>
      </w:r>
      <w:r>
        <w:rPr>
          <w:rFonts w:hint="eastAsia" w:ascii="仿宋_GB2312" w:hAnsi="仿宋_GB2312" w:eastAsia="仿宋_GB2312" w:cs="仿宋_GB2312"/>
          <w:bCs/>
          <w:kern w:val="0"/>
          <w:sz w:val="32"/>
          <w:szCs w:val="32"/>
        </w:rPr>
        <w:t>工程规划管理股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田长制工作股等</w:t>
      </w:r>
      <w:r>
        <w:rPr>
          <w:rFonts w:hint="eastAsia" w:ascii="仿宋_GB2312" w:hAnsi="仿宋_GB2312" w:eastAsia="仿宋_GB2312" w:cs="仿宋_GB2312"/>
          <w:bCs/>
          <w:kern w:val="0"/>
          <w:sz w:val="32"/>
          <w:szCs w:val="32"/>
          <w:lang w:val="en-US" w:eastAsia="zh-CN"/>
        </w:rPr>
        <w:t>6个股室</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事业单位包括：君山区自然资源事务中心、君山区不动产登记中心。</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bookmarkStart w:id="0" w:name="DEPT_COMPOSE"/>
      <w:r>
        <w:rPr>
          <w:rFonts w:hint="eastAsia" w:ascii="仿宋_GB2312" w:hAnsi="仿宋_GB2312" w:eastAsia="仿宋_GB2312" w:cs="仿宋_GB2312"/>
          <w:color w:val="000000"/>
          <w:sz w:val="32"/>
          <w:szCs w:val="32"/>
          <w:highlight w:val="none"/>
          <w:shd w:val="clear" w:color="auto" w:fill="FFFFFF"/>
          <w:lang w:val="en-US" w:eastAsia="zh-CN"/>
        </w:rPr>
        <w:t>岳阳市君山区自然资源局只有本级，没有其他二级预算单位，因此，纳入2024年部门预算编制范围的只有岳阳市君山区自然资源局本级。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本部门2024年没有国有资本经营预算收入和纳入专户管理的非税收入拨款收入，也没有使用国有资本经营预算收入和纳入专户管理的非税收入拨款安排的支出，所以部门预算公开表18、19表均为空。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000000"/>
          <w:sz w:val="32"/>
          <w:szCs w:val="32"/>
          <w:shd w:val="clear" w:color="auto" w:fill="FFFFFF"/>
          <w:lang w:val="en-US" w:eastAsia="zh-CN"/>
        </w:rPr>
        <w:t>包括一般公共预算、政府性基金、国有资本经营预算等财政拨款收入，以及经营收入、事业收入等单位资金。2024年本部门收入预算4229.37万元，其中，一般公共预算拨款1229.37万元，政府性基金预算资金3000.00万元</w:t>
      </w:r>
      <w:r>
        <w:rPr>
          <w:rFonts w:hint="eastAsia" w:ascii="仿宋_GB2312" w:hAnsi="仿宋_GB2312" w:eastAsia="仿宋_GB2312" w:cs="仿宋_GB2312"/>
          <w:color w:val="000000"/>
          <w:sz w:val="32"/>
          <w:szCs w:val="32"/>
          <w:highlight w:val="none"/>
          <w:shd w:val="clear" w:color="auto" w:fill="FFFFFF"/>
          <w:lang w:val="en-US" w:eastAsia="zh-CN"/>
        </w:rPr>
        <w:t>，国有资本经营预算资金0.00万元(所以部门预算公开表18表为空)，财政专户管理资金0.00万元(所以部门预算公开表19表为</w:t>
      </w:r>
      <w:r>
        <w:rPr>
          <w:rFonts w:hint="eastAsia" w:ascii="仿宋_GB2312" w:hAnsi="仿宋_GB2312" w:eastAsia="仿宋_GB2312" w:cs="仿宋_GB2312"/>
          <w:color w:val="000000"/>
          <w:sz w:val="32"/>
          <w:szCs w:val="32"/>
          <w:shd w:val="clear" w:color="auto" w:fill="FFFFFF"/>
          <w:lang w:val="en-US" w:eastAsia="zh-CN"/>
        </w:rPr>
        <w:t>空)，上级补助收入资金0.00万元，事业单位经营收入资金0.00万元，上年结转结余0.00万元。</w:t>
      </w:r>
      <w:r>
        <w:rPr>
          <w:rFonts w:hint="eastAsia" w:ascii="仿宋_GB2312" w:hAnsi="仿宋_GB2312" w:eastAsia="仿宋_GB2312" w:cs="仿宋_GB2312"/>
          <w:color w:val="000000"/>
          <w:sz w:val="32"/>
          <w:szCs w:val="32"/>
          <w:highlight w:val="none"/>
          <w:shd w:val="clear" w:color="auto" w:fill="FFFFFF"/>
          <w:lang w:val="en-US" w:eastAsia="zh-CN"/>
        </w:rPr>
        <w:t>收入较上年增加2358.41万元，增加126.05%。主要原因是增加了君山区增减挂钩和旱改水及耕地开发项目，从而导致政府基金预算资金增加。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150360" cy="2353310"/>
            <wp:effectExtent l="4445" t="4445" r="17145" b="6159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1"/>
        </w:numPr>
        <w:spacing w:line="570" w:lineRule="atLeast"/>
        <w:ind w:left="0" w:leftChars="0"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sz w:val="32"/>
          <w:szCs w:val="32"/>
          <w:shd w:val="clear" w:color="auto" w:fill="FFFFFF"/>
          <w:lang w:val="en-US" w:eastAsia="zh-CN"/>
        </w:rPr>
        <w:t>2024年本部门支出预算4229.37万元，其中：社会保障和就业支出77.17万元，卫生健康支出22.13万元，住房保障支出36.16万元，节能环保支出500万元，自然资源海洋气象等支出593.91万元，其他支出3000万元。</w:t>
      </w:r>
      <w:r>
        <w:rPr>
          <w:rFonts w:hint="eastAsia" w:ascii="仿宋_GB2312" w:hAnsi="仿宋_GB2312" w:eastAsia="仿宋_GB2312" w:cs="仿宋_GB2312"/>
          <w:color w:val="000000"/>
          <w:sz w:val="32"/>
          <w:szCs w:val="32"/>
          <w:highlight w:val="none"/>
          <w:shd w:val="clear" w:color="auto" w:fill="FFFFFF"/>
          <w:lang w:val="en-US" w:eastAsia="zh-CN"/>
        </w:rPr>
        <w:t>支出较上年增加了2358.419万元，增加126.05%。主要原因是增加了君山区增减挂钩和旱改水及耕地开发项目，从而导致其他支出增加。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部门一般公共预算拨款支出1229.37万元，其中：社会保障和就业支出77.17万元，占6.28%；自然资源海洋气象等支出593.91万元，占48.31%；卫生健康支出22.13万元，占1.80%；住房保障支出36.16万元，占2.94%；节能环保支出500万元，占40.67%。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sz w:val="32"/>
          <w:szCs w:val="32"/>
          <w:shd w:val="clear" w:color="auto" w:fill="FFFFFF"/>
          <w:lang w:val="en-US" w:eastAsia="zh-CN"/>
        </w:rPr>
        <w:t>2024年本部门基本支出预算数489.37万元，主要是为保障单位正常运转、完成日常工作任务而发生的各项支出，包括用于基本工资、津贴补贴等人员经费以及办公费、印刷费、水电费、办公设备购置等公用经费。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sz w:val="32"/>
          <w:szCs w:val="32"/>
          <w:shd w:val="clear" w:color="auto" w:fill="FFFFFF"/>
          <w:lang w:val="en-US" w:eastAsia="zh-CN"/>
        </w:rPr>
        <w:t>2024年本部门项目支出预算740万元，主要是本部门为完成特定工作任务或事业发展目标而发生的支出，包括有关事业发展专项、专项业务费、基本建设支出等，其中：自然资源海洋气象等支出240万元，主要用于</w:t>
      </w:r>
      <w:r>
        <w:rPr>
          <w:rFonts w:hint="eastAsia" w:ascii="Times New Roman" w:hAnsi="Times New Roman" w:eastAsia="仿宋_GB2312" w:cs="Times New Roman"/>
          <w:sz w:val="32"/>
          <w:szCs w:val="32"/>
          <w:lang w:eastAsia="zh-CN"/>
        </w:rPr>
        <w:t>业务工作经费支出、日常运行维护经费、二级机构运转和开支等</w:t>
      </w:r>
      <w:r>
        <w:rPr>
          <w:rFonts w:hint="eastAsia" w:ascii="仿宋_GB2312" w:hAnsi="仿宋_GB2312" w:eastAsia="仿宋_GB2312" w:cs="仿宋_GB2312"/>
          <w:color w:val="000000"/>
          <w:sz w:val="32"/>
          <w:szCs w:val="32"/>
          <w:shd w:val="clear" w:color="auto" w:fill="FFFFFF"/>
          <w:lang w:val="en-US" w:eastAsia="zh-CN"/>
        </w:rPr>
        <w:t>。节能环保支出500万元，主要用于</w:t>
      </w:r>
      <w:r>
        <w:rPr>
          <w:rFonts w:hint="eastAsia" w:ascii="Times New Roman" w:hAnsi="Times New Roman" w:eastAsia="仿宋_GB2312" w:cs="Times New Roman"/>
          <w:sz w:val="32"/>
          <w:szCs w:val="32"/>
        </w:rPr>
        <w:t>完成自然资源和规划管理工作</w:t>
      </w:r>
      <w:r>
        <w:rPr>
          <w:rFonts w:hint="eastAsia" w:ascii="仿宋_GB2312" w:hAnsi="仿宋_GB2312" w:eastAsia="仿宋_GB2312" w:cs="仿宋_GB2312"/>
          <w:color w:val="000000"/>
          <w:sz w:val="32"/>
          <w:szCs w:val="32"/>
          <w:shd w:val="clear" w:color="auto" w:fill="FFFFFF"/>
          <w:lang w:val="en-US" w:eastAsia="zh-CN"/>
        </w:rPr>
        <w:t>方面。</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ind w:firstLine="640" w:firstLineChars="200"/>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仿宋_GB2312" w:hAnsi="仿宋_GB2312" w:eastAsia="仿宋_GB2312" w:cs="仿宋_GB2312"/>
          <w:color w:val="000000"/>
          <w:sz w:val="32"/>
          <w:szCs w:val="32"/>
          <w:shd w:val="clear" w:color="auto" w:fill="FFFFFF"/>
          <w:lang w:val="en-US" w:eastAsia="zh-CN"/>
        </w:rPr>
        <w:t>2024年度本部门政府性基金安排的支出3000万元，其中：其他支出为3000万元，占100%，主要是其他政府性基金及对应专项债务收入安排的支出。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sz w:val="32"/>
          <w:szCs w:val="32"/>
          <w:shd w:val="clear" w:color="auto" w:fill="FFFFFF"/>
          <w:lang w:val="en-US" w:eastAsia="zh-CN"/>
        </w:rPr>
        <w:t>2024年岳阳市君山区自然资源局机关运行经费52.55万元，比上年预算下降30.41%。主要因机构变化，2024年较上年减少了6名工作人员，导致公用经费较上年减少。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sz w:val="32"/>
          <w:szCs w:val="32"/>
          <w:shd w:val="clear" w:color="auto" w:fill="FFFFFF"/>
          <w:lang w:val="en-US" w:eastAsia="zh-CN"/>
        </w:rPr>
        <w:t>2024年本部门“三公”经费预算数为8万元，其中，公务接待费2.5万元，公务用车购置及运行费5.5万元（其中，公务用车购置费0万元，公务用车运</w:t>
      </w:r>
      <w:r>
        <w:rPr>
          <w:rFonts w:hint="eastAsia" w:ascii="仿宋_GB2312" w:hAnsi="仿宋_GB2312" w:eastAsia="仿宋_GB2312" w:cs="仿宋_GB2312"/>
          <w:color w:val="000000"/>
          <w:sz w:val="32"/>
          <w:szCs w:val="32"/>
          <w:highlight w:val="none"/>
          <w:shd w:val="clear" w:color="auto" w:fill="FFFFFF"/>
          <w:lang w:val="en-US" w:eastAsia="zh-CN"/>
        </w:rPr>
        <w:t>行费5.5万元），因公出国（境）费0万元。2024年“三公”经费预算较2023年增加7.5万元，主要原因是增加了对国家级、省级、市级的公务接待，和对已持有的1辆公车增加运行和维护费用。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sz w:val="32"/>
          <w:szCs w:val="32"/>
          <w:shd w:val="clear" w:color="auto" w:fill="FFFFFF"/>
          <w:lang w:val="en-US" w:eastAsia="zh-CN"/>
        </w:rPr>
        <w:t>2024年本部门会议费预算3万元，拟召开国土空间专家评审会等5次会议，人数120人，内容为会场租赁、会议资料和其他杂费等；培训费预算0.3万元，拟开展专技人员继续教育等1次培训，人数7人，内容为授课费；</w:t>
      </w:r>
      <w:r>
        <w:rPr>
          <w:rFonts w:hint="eastAsia" w:ascii="仿宋_GB2312" w:hAnsi="仿宋_GB2312" w:eastAsia="仿宋_GB2312" w:cs="仿宋_GB2312"/>
          <w:color w:val="000000"/>
          <w:kern w:val="2"/>
          <w:sz w:val="32"/>
          <w:szCs w:val="32"/>
          <w:shd w:val="clear" w:color="auto" w:fill="FFFFFF"/>
          <w:lang w:val="en-US" w:eastAsia="zh-CN" w:bidi="ar-SA"/>
        </w:rPr>
        <w:t>2024年度本</w:t>
      </w:r>
      <w:r>
        <w:rPr>
          <w:rFonts w:hint="eastAsia" w:ascii="仿宋_GB2312" w:hAnsi="仿宋_GB2312" w:eastAsia="仿宋_GB2312" w:cs="仿宋_GB2312"/>
          <w:color w:val="000000"/>
          <w:kern w:val="2"/>
          <w:sz w:val="36"/>
          <w:szCs w:val="36"/>
          <w:shd w:val="clear" w:color="auto" w:fill="FFFFFF"/>
          <w:lang w:val="en-US" w:eastAsia="zh-CN" w:bidi="ar-SA"/>
        </w:rPr>
        <w:t>部门</w:t>
      </w:r>
      <w:r>
        <w:rPr>
          <w:rFonts w:hint="eastAsia" w:ascii="仿宋_GB2312" w:hAnsi="仿宋_GB2312" w:eastAsia="仿宋_GB2312" w:cs="仿宋_GB2312"/>
          <w:color w:val="000000"/>
          <w:kern w:val="2"/>
          <w:sz w:val="32"/>
          <w:szCs w:val="32"/>
          <w:shd w:val="clear" w:color="auto" w:fill="FFFFFF"/>
          <w:lang w:val="en-US" w:eastAsia="zh-CN" w:bidi="ar-SA"/>
        </w:rPr>
        <w:t>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sz w:val="32"/>
          <w:szCs w:val="32"/>
          <w:shd w:val="clear" w:color="auto" w:fill="FFFFFF"/>
          <w:lang w:val="en-US" w:eastAsia="zh-CN"/>
        </w:rPr>
        <w:t>2024年本部门政府采购预算总额775.25万元，其中，货物类采购预算85.25万元；工程类采购预算0万元；服务类采购预算690万元。</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sz w:val="32"/>
          <w:szCs w:val="32"/>
          <w:shd w:val="clear" w:color="auto" w:fill="FFFFFF"/>
          <w:lang w:val="en-US" w:eastAsia="zh-CN"/>
        </w:rPr>
        <w:t>截至2023年12月底，本部门共有公务用车1辆，其中，机要通信用车0辆，应急保障用车0辆，执法执勤用车1辆，特种专业技术用车0辆，其他按照规定配备的公务用车0辆；单位价值50万元以上设备0台，其中，单位价值100万元以上设备0台。</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2024年拟新增配置公务用车0辆，其中，机要通信用车0辆，应急保障用车0辆，执法执勤</w:t>
      </w:r>
      <w:r>
        <w:rPr>
          <w:rFonts w:hint="eastAsia" w:ascii="仿宋_GB2312" w:hAnsi="仿宋_GB2312" w:eastAsia="仿宋_GB2312" w:cs="仿宋_GB2312"/>
          <w:color w:val="000000"/>
          <w:sz w:val="32"/>
          <w:szCs w:val="32"/>
          <w:highlight w:val="none"/>
          <w:shd w:val="clear" w:color="auto" w:fill="FFFFFF"/>
          <w:lang w:val="en-US" w:eastAsia="zh-CN"/>
        </w:rPr>
        <w:t>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sz w:val="32"/>
          <w:szCs w:val="32"/>
          <w:highlight w:val="none"/>
          <w:shd w:val="clear" w:color="auto" w:fill="FFFFFF"/>
          <w:lang w:val="en-US" w:eastAsia="zh-CN"/>
        </w:rPr>
        <w:t>本部门所有支出实行绩效目标管理。纳入2024年部门整体支出绩效目标的金额为4229.37万元，其中，基本支出489.37万元，项目支出3740万元，具体绩效目标详见文尾附表中部门预算公开表21-22表。</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br w:type="page"/>
      </w: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附件：岳阳市君山区自然资源局2024年部门预算公开表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5066758"/>
    <w:rsid w:val="05AB37B2"/>
    <w:rsid w:val="0992531D"/>
    <w:rsid w:val="0A0D382D"/>
    <w:rsid w:val="0AEF68BE"/>
    <w:rsid w:val="0D8D68F1"/>
    <w:rsid w:val="0DCF7E4A"/>
    <w:rsid w:val="0E4B58DB"/>
    <w:rsid w:val="0ED939EE"/>
    <w:rsid w:val="0F1663CA"/>
    <w:rsid w:val="13385187"/>
    <w:rsid w:val="14C443D3"/>
    <w:rsid w:val="167C1082"/>
    <w:rsid w:val="16B94831"/>
    <w:rsid w:val="16EC4101"/>
    <w:rsid w:val="17386F39"/>
    <w:rsid w:val="1AA12D15"/>
    <w:rsid w:val="1B156429"/>
    <w:rsid w:val="1C744CBF"/>
    <w:rsid w:val="1C906D16"/>
    <w:rsid w:val="200307FA"/>
    <w:rsid w:val="20A420AE"/>
    <w:rsid w:val="213E1D14"/>
    <w:rsid w:val="22CB72A5"/>
    <w:rsid w:val="230C7214"/>
    <w:rsid w:val="25F52A64"/>
    <w:rsid w:val="264178B0"/>
    <w:rsid w:val="29EC6874"/>
    <w:rsid w:val="2BF01473"/>
    <w:rsid w:val="2D6329A9"/>
    <w:rsid w:val="2EF502C5"/>
    <w:rsid w:val="305B1762"/>
    <w:rsid w:val="305B3D34"/>
    <w:rsid w:val="305C2E10"/>
    <w:rsid w:val="324A2389"/>
    <w:rsid w:val="328F1D91"/>
    <w:rsid w:val="32982A78"/>
    <w:rsid w:val="32C66482"/>
    <w:rsid w:val="35683252"/>
    <w:rsid w:val="35D63F1B"/>
    <w:rsid w:val="361C522A"/>
    <w:rsid w:val="36BE748E"/>
    <w:rsid w:val="372419C7"/>
    <w:rsid w:val="38C2711D"/>
    <w:rsid w:val="38E631A3"/>
    <w:rsid w:val="3951638D"/>
    <w:rsid w:val="3A242018"/>
    <w:rsid w:val="3AB17449"/>
    <w:rsid w:val="3BDE696C"/>
    <w:rsid w:val="3C555FCF"/>
    <w:rsid w:val="3F116709"/>
    <w:rsid w:val="3F150D8C"/>
    <w:rsid w:val="403F2E01"/>
    <w:rsid w:val="44C24001"/>
    <w:rsid w:val="45263EC4"/>
    <w:rsid w:val="4534501F"/>
    <w:rsid w:val="4555609A"/>
    <w:rsid w:val="47E411CF"/>
    <w:rsid w:val="49067287"/>
    <w:rsid w:val="490966A2"/>
    <w:rsid w:val="49942DA0"/>
    <w:rsid w:val="49B605D8"/>
    <w:rsid w:val="4AD36F68"/>
    <w:rsid w:val="4ADD73C0"/>
    <w:rsid w:val="4BC03402"/>
    <w:rsid w:val="4C214437"/>
    <w:rsid w:val="4D4203D5"/>
    <w:rsid w:val="4DBF1A26"/>
    <w:rsid w:val="4EE728E7"/>
    <w:rsid w:val="50DF7060"/>
    <w:rsid w:val="51066F16"/>
    <w:rsid w:val="51B004D2"/>
    <w:rsid w:val="52241F08"/>
    <w:rsid w:val="54244912"/>
    <w:rsid w:val="56301712"/>
    <w:rsid w:val="574216FD"/>
    <w:rsid w:val="576A0C54"/>
    <w:rsid w:val="58A12453"/>
    <w:rsid w:val="5A380B96"/>
    <w:rsid w:val="5A5A018F"/>
    <w:rsid w:val="5AF20A12"/>
    <w:rsid w:val="5D647EF4"/>
    <w:rsid w:val="5DE306BB"/>
    <w:rsid w:val="5F3F29C6"/>
    <w:rsid w:val="61D55E4D"/>
    <w:rsid w:val="625B0F8C"/>
    <w:rsid w:val="637274E6"/>
    <w:rsid w:val="63894210"/>
    <w:rsid w:val="64C7681D"/>
    <w:rsid w:val="662F72F1"/>
    <w:rsid w:val="66B263EF"/>
    <w:rsid w:val="6B49147A"/>
    <w:rsid w:val="6C0749A4"/>
    <w:rsid w:val="6C5E2742"/>
    <w:rsid w:val="6CB542C8"/>
    <w:rsid w:val="6CC62031"/>
    <w:rsid w:val="70AE175A"/>
    <w:rsid w:val="721F6E5B"/>
    <w:rsid w:val="72860C2E"/>
    <w:rsid w:val="728C4B01"/>
    <w:rsid w:val="729A1F96"/>
    <w:rsid w:val="739C7F8F"/>
    <w:rsid w:val="73BE1EBD"/>
    <w:rsid w:val="78CC0C1A"/>
    <w:rsid w:val="791A5BDE"/>
    <w:rsid w:val="7A1C5986"/>
    <w:rsid w:val="7A6A1203"/>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0"/>
            <c:spPr>
              <a:ln w="15875" cmpd="sng">
                <a:solidFill>
                  <a:schemeClr val="bg1"/>
                </a:solidFill>
                <a:prstDash val="solid"/>
              </a:ln>
              <a:effectLst/>
              <a:scene3d>
                <a:camera prst="orthographicFront"/>
                <a:lightRig rig="threePt" dir="t"/>
              </a:scene3d>
              <a:sp3d contourW="15875" prstMaterial="flat"/>
            </c:spPr>
          </c:dPt>
          <c:dLbls>
            <c:dLbl>
              <c:idx val="0"/>
              <c:layout/>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[收入预算图.xlsx]Sheet1!$B$31:$B$32</c:f>
              <c:strCache>
                <c:ptCount val="2"/>
                <c:pt idx="0">
                  <c:v>一般公共预算拨款收入</c:v>
                </c:pt>
                <c:pt idx="1">
                  <c:v>政府性基金预算资金</c:v>
                </c:pt>
              </c:strCache>
            </c:strRef>
          </c:cat>
          <c:val>
            <c:numRef>
              <c:f>[收入预算图.xlsx]Sheet1!$C$31:$C$32</c:f>
              <c:numCache>
                <c:formatCode>0.00%</c:formatCode>
                <c:ptCount val="2"/>
                <c:pt idx="0">
                  <c:v>0.2907</c:v>
                </c:pt>
                <c:pt idx="1">
                  <c:v>0.7093</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15753557121149"/>
          <c:y val="0.365522640710961"/>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Pt>
            <c:idx val="4"/>
            <c:bubble3D val="0"/>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a:scene3d>
                <a:camera prst="orthographicFront"/>
                <a:lightRig rig="threePt" dir="t"/>
              </a:scene3d>
              <a:sp3d contourW="9525"/>
            </c:spPr>
          </c:dPt>
          <c:dPt>
            <c:idx val="5"/>
            <c:bubble3D val="0"/>
            <c:spPr>
              <a:gradFill>
                <a:gsLst>
                  <a:gs pos="100000">
                    <a:schemeClr val="accent6"/>
                  </a:gs>
                  <a:gs pos="0">
                    <a:schemeClr val="accent6">
                      <a:hueOff val="-1670000"/>
                    </a:schemeClr>
                  </a:gs>
                </a:gsLst>
                <a:lin ang="5400000" scaled="0"/>
              </a:gradFill>
              <a:ln>
                <a:gradFill>
                  <a:gsLst>
                    <a:gs pos="100000">
                      <a:schemeClr val="accent6">
                        <a:lumMod val="75000"/>
                      </a:schemeClr>
                    </a:gs>
                    <a:gs pos="0">
                      <a:schemeClr val="accent6">
                        <a:lumMod val="75000"/>
                        <a:hueOff val="-1670000"/>
                      </a:schemeClr>
                    </a:gs>
                  </a:gsLst>
                  <a:lin ang="4620000" scaled="0"/>
                </a:gradFill>
              </a:ln>
              <a:effectLst/>
              <a:scene3d>
                <a:camera prst="orthographicFront"/>
                <a:lightRig rig="threePt" dir="t"/>
              </a:scene3d>
              <a:sp3d contourW="9525"/>
            </c:spPr>
          </c:dPt>
          <c:dLbls>
            <c:dLbl>
              <c:idx val="0"/>
              <c:layout>
                <c:manualLayout>
                  <c:x val="-0.160587281320593"/>
                  <c:y val="-0.00069292392173247"/>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2287838975576"/>
                  <c:y val="0.016557278473896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7291854650271"/>
                  <c:y val="-0.116992867790304"/>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0755205576159351"/>
                  <c:y val="0.0046201025820151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0621632822213013"/>
                  <c:y val="0.1174354633939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59552424368007"/>
                  <c:y val="0.1174354633939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[收入预算图.xlsx]Sheet1!$B$2:$B$7</c:f>
              <c:strCache>
                <c:ptCount val="6"/>
                <c:pt idx="0">
                  <c:v>社会保障和就业支出</c:v>
                </c:pt>
                <c:pt idx="1">
                  <c:v>卫生健康支出</c:v>
                </c:pt>
                <c:pt idx="2">
                  <c:v>其他支出</c:v>
                </c:pt>
                <c:pt idx="3">
                  <c:v>住房保障支出</c:v>
                </c:pt>
                <c:pt idx="4">
                  <c:v>节能环保支出</c:v>
                </c:pt>
                <c:pt idx="5">
                  <c:v>自然资源海洋气象等支出</c:v>
                </c:pt>
              </c:strCache>
            </c:strRef>
          </c:cat>
          <c:val>
            <c:numRef>
              <c:f>[收入预算图.xlsx]Sheet1!$C$2:$C$7</c:f>
              <c:numCache>
                <c:formatCode>0.00%</c:formatCode>
                <c:ptCount val="6"/>
                <c:pt idx="0">
                  <c:v>0.0184</c:v>
                </c:pt>
                <c:pt idx="1">
                  <c:v>0.0052</c:v>
                </c:pt>
                <c:pt idx="2">
                  <c:v>0.7093</c:v>
                </c:pt>
                <c:pt idx="3">
                  <c:v>0.0085</c:v>
                </c:pt>
                <c:pt idx="4">
                  <c:v>0.1182</c:v>
                </c:pt>
                <c:pt idx="5">
                  <c:v>0.1404</c:v>
                </c:pt>
              </c:numCache>
            </c:numRef>
          </c:val>
        </c:ser>
        <c:dLbls>
          <c:showLegendKey val="0"/>
          <c:showVal val="0"/>
          <c:showCatName val="1"/>
          <c:showSerName val="0"/>
          <c:showPercent val="1"/>
          <c:showBubbleSize val="0"/>
        </c:dLbls>
      </c:pie3DChart>
      <c:spPr>
        <a:noFill/>
        <a:ln>
          <a:noFill/>
        </a:ln>
        <a:effectLst/>
      </c:spPr>
    </c:plotArea>
    <c:legend>
      <c:legendPos val="t"/>
      <c:layout>
        <c:manualLayout>
          <c:xMode val="edge"/>
          <c:yMode val="edge"/>
          <c:x val="0.191462909241608"/>
          <c:y val="0.103258569614896"/>
          <c:w val="0.636552009946125"/>
          <c:h val="0.1914938637325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4700</Words>
  <Characters>5018</Characters>
  <Lines>0</Lines>
  <Paragraphs>0</Paragraphs>
  <TotalTime>8</TotalTime>
  <ScaleCrop>false</ScaleCrop>
  <LinksUpToDate>false</LinksUpToDate>
  <CharactersWithSpaces>5035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2024-06-26T09:58:53Z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1CA10E63D222407BBA905974AE132832_13</vt:lpwstr>
  </property>
</Properties>
</file>