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君山区许市镇人民政府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jc w:val="center"/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both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eastAsia="黑体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1、</w:t>
      </w:r>
      <w:r>
        <w:rPr>
          <w:rFonts w:hint="eastAsia" w:eastAsia="仿宋_GB2312"/>
          <w:sz w:val="32"/>
          <w:szCs w:val="32"/>
        </w:rPr>
        <w:t>执行本级人民代表大会的决议和上级国家行政机关的决定和命令，发布决定和命令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2、</w:t>
      </w:r>
      <w:r>
        <w:rPr>
          <w:rFonts w:hint="eastAsia" w:eastAsia="仿宋_GB2312"/>
          <w:sz w:val="32"/>
          <w:szCs w:val="32"/>
        </w:rPr>
        <w:t>执行本行政区域内的经济和社会发展计划、预算，管理本行政区域内的经济、教育、科学、文化、卫生、体育事业和财政、民政、公安、司法行政、计划生育等行政工作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3、</w:t>
      </w:r>
      <w:r>
        <w:rPr>
          <w:rFonts w:hint="eastAsia" w:eastAsia="仿宋_GB2312"/>
          <w:sz w:val="32"/>
          <w:szCs w:val="32"/>
        </w:rPr>
        <w:t>保护社会主义的全民所有的财产和劳动群众集体所有的财产，保护公民私人所有的合法财产，维护社会秩序，保障公民的人身权利、民主权利和其他权利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4、</w:t>
      </w:r>
      <w:r>
        <w:rPr>
          <w:rFonts w:hint="eastAsia" w:eastAsia="仿宋_GB2312"/>
          <w:sz w:val="32"/>
          <w:szCs w:val="32"/>
        </w:rPr>
        <w:t>保护各种经济组织的合法权益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5、</w:t>
      </w:r>
      <w:r>
        <w:rPr>
          <w:rFonts w:hint="eastAsia" w:eastAsia="仿宋_GB2312"/>
          <w:sz w:val="32"/>
          <w:szCs w:val="32"/>
        </w:rPr>
        <w:t>保障少数民族的权利和尊重少数民族的风俗习惯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6、</w:t>
      </w:r>
      <w:r>
        <w:rPr>
          <w:rFonts w:hint="eastAsia" w:eastAsia="仿宋_GB2312"/>
          <w:sz w:val="32"/>
          <w:szCs w:val="32"/>
        </w:rPr>
        <w:t>保障宪法和法律赋予妇女的男女平等、同工同酬和婚姻自由等各项权利</w:t>
      </w:r>
      <w:r>
        <w:rPr>
          <w:rFonts w:hint="eastAsia" w:eastAsia="仿宋_GB2312"/>
          <w:sz w:val="32"/>
          <w:szCs w:val="32"/>
          <w:lang w:eastAsia="zh-CN"/>
        </w:rPr>
        <w:t>；</w:t>
      </w:r>
    </w:p>
    <w:p>
      <w:pPr>
        <w:widowControl/>
        <w:spacing w:line="600" w:lineRule="exact"/>
        <w:ind w:firstLine="627" w:firstLineChars="196"/>
        <w:rPr>
          <w:rFonts w:eastAsia="楷体_GB2312"/>
          <w:b/>
          <w:sz w:val="32"/>
          <w:szCs w:val="32"/>
        </w:rPr>
      </w:pPr>
      <w:r>
        <w:rPr>
          <w:rFonts w:hint="eastAsia" w:eastAsia="仿宋_GB2312"/>
          <w:sz w:val="32"/>
          <w:szCs w:val="32"/>
          <w:lang w:val="en-US" w:eastAsia="zh-CN"/>
        </w:rPr>
        <w:t>7、</w:t>
      </w:r>
      <w:r>
        <w:rPr>
          <w:rFonts w:hint="eastAsia" w:eastAsia="仿宋_GB2312"/>
          <w:sz w:val="32"/>
          <w:szCs w:val="32"/>
        </w:rPr>
        <w:t>办理上级人民政府交办的其他事项。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960" w:firstLineChars="300"/>
        <w:jc w:val="left"/>
        <w:rPr>
          <w:rFonts w:hint="default" w:eastAsia="仿宋_GB2312"/>
          <w:b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  <w:lang w:val="en-US" w:eastAsia="zh-CN"/>
        </w:rPr>
        <w:t>君山区许市镇人民政府</w:t>
      </w:r>
      <w:r>
        <w:rPr>
          <w:rFonts w:hint="eastAsia" w:eastAsia="仿宋_GB2312"/>
          <w:sz w:val="32"/>
          <w:szCs w:val="32"/>
        </w:rPr>
        <w:t>内设</w:t>
      </w:r>
      <w:r>
        <w:rPr>
          <w:rFonts w:hint="eastAsia" w:eastAsia="仿宋_GB2312"/>
          <w:sz w:val="32"/>
          <w:szCs w:val="32"/>
          <w:lang w:val="en-US" w:eastAsia="zh-CN"/>
        </w:rPr>
        <w:t>9个部门</w:t>
      </w:r>
      <w:r>
        <w:rPr>
          <w:rFonts w:hint="eastAsia" w:eastAsia="仿宋_GB2312"/>
          <w:sz w:val="32"/>
          <w:szCs w:val="32"/>
        </w:rPr>
        <w:t>：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经管站、经济发展办</w:t>
      </w:r>
      <w:r>
        <w:rPr>
          <w:rFonts w:hint="eastAsia" w:eastAsia="仿宋_GB2312"/>
          <w:sz w:val="32"/>
          <w:szCs w:val="32"/>
          <w:highlight w:val="none"/>
        </w:rPr>
        <w:t>、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社会事务办、农业综合服务中心</w:t>
      </w:r>
      <w:r>
        <w:rPr>
          <w:rFonts w:hint="eastAsia" w:eastAsia="仿宋_GB2312"/>
          <w:sz w:val="32"/>
          <w:szCs w:val="32"/>
          <w:highlight w:val="none"/>
        </w:rPr>
        <w:t>、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社会事业综合服务中心</w:t>
      </w:r>
      <w:r>
        <w:rPr>
          <w:rFonts w:hint="eastAsia" w:eastAsia="仿宋_GB2312"/>
          <w:sz w:val="32"/>
          <w:szCs w:val="32"/>
          <w:highlight w:val="none"/>
        </w:rPr>
        <w:t>、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环境卫生服务中心</w:t>
      </w:r>
      <w:r>
        <w:rPr>
          <w:rFonts w:hint="eastAsia" w:eastAsia="仿宋_GB2312"/>
          <w:sz w:val="32"/>
          <w:szCs w:val="32"/>
          <w:highlight w:val="none"/>
        </w:rPr>
        <w:t>、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综合行政执法大队、社会治安和应急管理办、政务服务中心</w:t>
      </w:r>
      <w:r>
        <w:rPr>
          <w:rFonts w:hint="eastAsia" w:eastAsia="仿宋_GB2312"/>
          <w:sz w:val="32"/>
          <w:szCs w:val="32"/>
        </w:rPr>
        <w:t>；核定</w:t>
      </w:r>
      <w:r>
        <w:rPr>
          <w:rFonts w:hint="eastAsia" w:eastAsia="仿宋_GB2312"/>
          <w:sz w:val="32"/>
          <w:szCs w:val="32"/>
          <w:lang w:val="en-US" w:eastAsia="zh-CN"/>
        </w:rPr>
        <w:t>君山区许市镇人民政府行政编33人，事业编28人。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bookmarkStart w:id="0" w:name="DEPT_COMPOSE"/>
      <w:r>
        <w:rPr>
          <w:rFonts w:hint="eastAsia" w:eastAsia="仿宋_GB2312"/>
          <w:sz w:val="32"/>
          <w:szCs w:val="32"/>
          <w:lang w:val="en-US" w:eastAsia="zh-CN"/>
        </w:rPr>
        <w:t>君山区许市镇人民政府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只有本级，没有其他二级预算单位，因此，纳入2024年部门预算编制范围的只有</w:t>
      </w:r>
      <w:r>
        <w:rPr>
          <w:rFonts w:hint="eastAsia" w:eastAsia="仿宋_GB2312"/>
          <w:sz w:val="32"/>
          <w:szCs w:val="32"/>
          <w:lang w:val="en-US" w:eastAsia="zh-CN"/>
        </w:rPr>
        <w:t>君山区许市镇人民政府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本级。</w:t>
      </w:r>
    </w:p>
    <w:bookmarkEnd w:id="0"/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公开的附件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部门收入预算1252.9万元，其中，一般公共预算拨款1252.9万元，政府性基金预算资金0.00万元(所以公开的附件15-17表为空)，国有资本经营预算资金0.00万元(所以公开的附件18表为空)，财政专户管理资金0.00万元(所以公开的附件19表为空)，上级补助收入资金0.00万元，事业单位经营收入资金0.00万元，上年结转结余0.00万元。收入较上年减少136.34万元，下降9.8%。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主要原因是2024年村（社区）干部工资不再由区财政拨款至乡镇发放，导致商品和服务支出减少。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center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  <w14:textOutline w14:w="12700" w14:cmpd="sng">
            <w14:solidFill>
              <w14:schemeClr w14:val="accent1">
                <w14:alpha w14:val="0"/>
              </w14:schemeClr>
            </w14:solidFill>
            <w14:prstDash w14:val="solid"/>
            <w14:round/>
          </w14:textOutline>
        </w:rPr>
      </w:pPr>
      <w:r>
        <w:drawing>
          <wp:inline distT="0" distB="0" distL="114300" distR="114300">
            <wp:extent cx="3689985" cy="2840355"/>
            <wp:effectExtent l="4445" t="4445" r="8890" b="508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leftChars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auto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支出预算1252.9万元，其中：一般公共服务支出774.68万元，社会保障和就业支出113.4万元，卫生健康支出33.9万元，城乡社区支出60.8万元，农林水支出214.6万元，住房保障支出55.52万元。支出较上年减少136.34万元，下降9.8%。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auto"/>
          <w:lang w:val="en-US" w:eastAsia="zh-CN" w:bidi="ar-SA"/>
        </w:rPr>
        <w:t>主要原因是2024年村（社区）干部工资不再由区财政拨款至乡镇发放，导致商品和服务支出减少。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center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3577590" cy="2838450"/>
            <wp:effectExtent l="4445" t="4445" r="14605" b="6985"/>
            <wp:docPr id="3" name="图表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一般公共预算拨款支出1252.9万元，其中：一般公共服务支出774.68，占61.83%，社会保障和就业支出113.4万元，占9.05%；卫生健康支出33.9万元，占2.71%；城乡社区支出60.8万元，占4.85%，农林水支出214.6万元，占17.13%，住房保障支出55.52万元，占4.43%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2024年本部门基本支出预算数811.35万元，主要是为保障部门正常运转、完成日常工作任务而发生的各项支出，包括用于基本工资、津贴补贴等人员经费以及办公费、印刷费、水电费、办公设备购置等公用经费。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2024年本部门项目支出预算441.55万元，主要是本部门为完成特定工作任务或事业发展目标而发生的支出，包括有关事业发展专项、专项业务费、基本建设支出等，其中：一般公共服务支出166.15万元，主要用于</w:t>
      </w:r>
      <w:r>
        <w:rPr>
          <w:rFonts w:hint="eastAsia" w:eastAsia="仿宋_GB2312"/>
          <w:sz w:val="32"/>
          <w:szCs w:val="32"/>
          <w:highlight w:val="none"/>
          <w:u w:val="none"/>
          <w:lang w:val="en-US" w:eastAsia="zh-CN"/>
        </w:rPr>
        <w:t>保障镇属部门及学校工作正常运转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，城乡社区支出60.8万元，主要用于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保障社区工作正常运转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，农林水支出214.6万元，主要用于</w:t>
      </w:r>
      <w:r>
        <w:rPr>
          <w:rFonts w:hint="eastAsia" w:eastAsia="仿宋_GB2312"/>
          <w:sz w:val="32"/>
          <w:szCs w:val="32"/>
          <w:highlight w:val="none"/>
        </w:rPr>
        <w:t>保障村级工作正常运行</w:t>
      </w:r>
      <w:r>
        <w:rPr>
          <w:rFonts w:hint="eastAsia" w:eastAsia="仿宋_GB2312"/>
          <w:sz w:val="32"/>
          <w:szCs w:val="32"/>
          <w:highlight w:val="none"/>
          <w:lang w:eastAsia="zh-CN"/>
        </w:rPr>
        <w:t>，</w:t>
      </w:r>
      <w:r>
        <w:rPr>
          <w:rFonts w:hint="eastAsia" w:eastAsia="仿宋_GB2312"/>
          <w:sz w:val="32"/>
          <w:szCs w:val="32"/>
          <w:highlight w:val="none"/>
        </w:rPr>
        <w:t>保障村级社区组织规范建设，提高服务群众质量水平等方面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2024年君山区许市镇人民政府机关运行经费85.33万元，比上年预算下降13.78%。主要原因是2023年有1名工作人员退休，造成公用经费预算减少。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“三公”经费预算数为0.3万元，其中，公务接待费0.3万元，公务用车购置及运行费0万元（其中，公务用车购置费0万元，公务用车运行费0万元），因公出国（境）费0万元。2024年“三公”经费预算较2023年减少5.7万元，主要原因是严格落实中央“八项规定”精神和“过紧日子”的要求，从严控制“三公”经费支出。</w:t>
      </w:r>
      <w:bookmarkStart w:id="1" w:name="END_IS_ZERO_06_1"/>
      <w:bookmarkEnd w:id="1"/>
      <w:bookmarkStart w:id="2" w:name="END_IS_ZERO_06_2"/>
      <w:bookmarkEnd w:id="2"/>
      <w:bookmarkStart w:id="3" w:name="DIS_MARK_IS_ZERO_06_2"/>
      <w:bookmarkEnd w:id="3"/>
      <w:bookmarkStart w:id="4" w:name="START_IS_ZERO_06_2"/>
      <w:bookmarkEnd w:id="4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eastAsia="仿宋_GB2312"/>
          <w:b/>
          <w:sz w:val="32"/>
          <w:szCs w:val="32"/>
          <w:u w:val="none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eastAsia="仿宋_GB2312"/>
          <w:kern w:val="0"/>
          <w:sz w:val="32"/>
          <w:szCs w:val="32"/>
          <w:lang w:eastAsia="zh-CN"/>
        </w:rPr>
        <w:t>202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4</w:t>
      </w:r>
      <w:r>
        <w:rPr>
          <w:rFonts w:eastAsia="仿宋_GB2312"/>
          <w:kern w:val="0"/>
          <w:sz w:val="32"/>
          <w:szCs w:val="32"/>
        </w:rPr>
        <w:t>年</w:t>
      </w:r>
      <w:r>
        <w:rPr>
          <w:rFonts w:eastAsia="仿宋_GB2312"/>
          <w:kern w:val="0"/>
          <w:sz w:val="32"/>
          <w:szCs w:val="32"/>
          <w:u w:val="none"/>
        </w:rPr>
        <w:t>本部门会议费预算</w:t>
      </w:r>
      <w:r>
        <w:rPr>
          <w:rFonts w:eastAsia="仿宋_GB2312"/>
          <w:sz w:val="32"/>
          <w:szCs w:val="32"/>
          <w:u w:val="none"/>
        </w:rPr>
        <w:t xml:space="preserve"> 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1</w:t>
      </w:r>
      <w:r>
        <w:rPr>
          <w:rFonts w:eastAsia="仿宋_GB2312"/>
          <w:kern w:val="0"/>
          <w:sz w:val="32"/>
          <w:szCs w:val="32"/>
          <w:u w:val="none"/>
        </w:rPr>
        <w:t>万元，拟召开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3次</w:t>
      </w:r>
      <w:r>
        <w:rPr>
          <w:rFonts w:eastAsia="仿宋_GB2312"/>
          <w:kern w:val="0"/>
          <w:sz w:val="32"/>
          <w:szCs w:val="32"/>
          <w:u w:val="none"/>
        </w:rPr>
        <w:t>会议，人数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85</w:t>
      </w:r>
      <w:r>
        <w:rPr>
          <w:rFonts w:eastAsia="仿宋_GB2312"/>
          <w:sz w:val="32"/>
          <w:szCs w:val="32"/>
          <w:u w:val="none"/>
        </w:rPr>
        <w:t xml:space="preserve"> </w:t>
      </w:r>
      <w:r>
        <w:rPr>
          <w:rFonts w:eastAsia="仿宋_GB2312"/>
          <w:kern w:val="0"/>
          <w:sz w:val="32"/>
          <w:szCs w:val="32"/>
          <w:u w:val="none"/>
        </w:rPr>
        <w:t>人，内容为</w:t>
      </w:r>
      <w:r>
        <w:rPr>
          <w:rFonts w:hint="eastAsia" w:eastAsia="仿宋_GB2312"/>
          <w:kern w:val="0"/>
          <w:sz w:val="32"/>
          <w:szCs w:val="32"/>
          <w:u w:val="none"/>
          <w:lang w:val="en-US" w:eastAsia="zh-CN"/>
        </w:rPr>
        <w:t>审议政府工作报告</w:t>
      </w:r>
      <w:r>
        <w:rPr>
          <w:rFonts w:eastAsia="仿宋_GB2312"/>
          <w:kern w:val="0"/>
          <w:sz w:val="32"/>
          <w:szCs w:val="32"/>
          <w:u w:val="none"/>
        </w:rPr>
        <w:t>；培训费预算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0.5</w:t>
      </w:r>
      <w:r>
        <w:rPr>
          <w:rFonts w:eastAsia="仿宋_GB2312"/>
          <w:kern w:val="0"/>
          <w:sz w:val="32"/>
          <w:szCs w:val="32"/>
          <w:u w:val="none"/>
        </w:rPr>
        <w:t>万元，拟开展</w:t>
      </w:r>
      <w:r>
        <w:rPr>
          <w:rFonts w:eastAsia="仿宋_GB2312"/>
          <w:sz w:val="32"/>
          <w:szCs w:val="32"/>
          <w:u w:val="none"/>
        </w:rPr>
        <w:t xml:space="preserve"> 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1次</w:t>
      </w:r>
      <w:r>
        <w:rPr>
          <w:rFonts w:eastAsia="仿宋_GB2312"/>
          <w:kern w:val="0"/>
          <w:sz w:val="32"/>
          <w:szCs w:val="32"/>
          <w:u w:val="none"/>
        </w:rPr>
        <w:t>培训，人数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90</w:t>
      </w:r>
      <w:r>
        <w:rPr>
          <w:rFonts w:eastAsia="仿宋_GB2312"/>
          <w:kern w:val="0"/>
          <w:sz w:val="32"/>
          <w:szCs w:val="32"/>
          <w:u w:val="none"/>
        </w:rPr>
        <w:t>人，内容为</w:t>
      </w:r>
      <w:r>
        <w:rPr>
          <w:rFonts w:hint="eastAsia" w:eastAsia="仿宋_GB2312"/>
          <w:sz w:val="32"/>
          <w:szCs w:val="32"/>
          <w:u w:val="none"/>
          <w:lang w:val="en-US" w:eastAsia="zh-CN"/>
        </w:rPr>
        <w:t>红色教育培训</w:t>
      </w:r>
      <w:r>
        <w:rPr>
          <w:rFonts w:eastAsia="仿宋_GB2312"/>
          <w:sz w:val="32"/>
          <w:szCs w:val="32"/>
          <w:u w:val="none"/>
        </w:rPr>
        <w:t xml:space="preserve"> </w:t>
      </w:r>
      <w:r>
        <w:rPr>
          <w:rFonts w:eastAsia="仿宋_GB2312"/>
          <w:kern w:val="0"/>
          <w:sz w:val="32"/>
          <w:szCs w:val="32"/>
          <w:u w:val="none"/>
        </w:rPr>
        <w:t>；</w:t>
      </w:r>
      <w:r>
        <w:rPr>
          <w:rFonts w:hint="eastAsia" w:eastAsia="仿宋_GB2312"/>
          <w:kern w:val="0"/>
          <w:sz w:val="32"/>
          <w:szCs w:val="32"/>
          <w:u w:val="none"/>
          <w:lang w:eastAsia="zh-CN"/>
        </w:rPr>
        <w:t>未计划举办</w:t>
      </w:r>
      <w:r>
        <w:rPr>
          <w:rFonts w:hint="eastAsia" w:eastAsia="仿宋_GB2312"/>
          <w:kern w:val="0"/>
          <w:sz w:val="32"/>
          <w:szCs w:val="32"/>
          <w:u w:val="none"/>
        </w:rPr>
        <w:t>节庆、晚会、</w:t>
      </w:r>
      <w:r>
        <w:rPr>
          <w:rFonts w:eastAsia="仿宋_GB2312"/>
          <w:kern w:val="0"/>
          <w:sz w:val="32"/>
          <w:szCs w:val="32"/>
          <w:u w:val="none"/>
        </w:rPr>
        <w:t>论坛、赛事</w:t>
      </w:r>
      <w:r>
        <w:rPr>
          <w:rFonts w:hint="eastAsia" w:eastAsia="仿宋_GB2312"/>
          <w:kern w:val="0"/>
          <w:sz w:val="32"/>
          <w:szCs w:val="32"/>
          <w:u w:val="none"/>
        </w:rPr>
        <w:t>活动</w:t>
      </w:r>
      <w:r>
        <w:rPr>
          <w:rFonts w:eastAsia="仿宋_GB2312"/>
          <w:kern w:val="0"/>
          <w:sz w:val="32"/>
          <w:szCs w:val="32"/>
        </w:rPr>
        <w:t>，经费预算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kern w:val="0"/>
          <w:sz w:val="32"/>
          <w:szCs w:val="32"/>
        </w:rPr>
        <w:t>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2024年本部门政府采购预算总额57.32万元，其中，货物类采购预算31.32万元；工程类采购预算0万元；服务类采购预算26万元。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本部门所有支出实行绩效目标管理。纳入2024年部门整体支出绩效目标的金额为1252.9万元，其中，基本支出811.35万元，项目支出441.55万元，具体绩效目标详见文尾附表中部门预算公开表格的表22-23。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pStyle w:val="2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pStyle w:val="2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pStyle w:val="2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pStyle w:val="2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pStyle w:val="2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pStyle w:val="2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pStyle w:val="2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pStyle w:val="2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pStyle w:val="2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pStyle w:val="2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19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0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附件：君山区许市镇人民政府2024年部门预算公开表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  <w:highlight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0857C69"/>
    <w:rsid w:val="02412BCB"/>
    <w:rsid w:val="02FA7BB8"/>
    <w:rsid w:val="03631DE8"/>
    <w:rsid w:val="05DE428D"/>
    <w:rsid w:val="05ED25F6"/>
    <w:rsid w:val="079242AE"/>
    <w:rsid w:val="07D007CE"/>
    <w:rsid w:val="085D0C84"/>
    <w:rsid w:val="0992531D"/>
    <w:rsid w:val="0A0D382D"/>
    <w:rsid w:val="0D2835D5"/>
    <w:rsid w:val="0ED939EE"/>
    <w:rsid w:val="10274050"/>
    <w:rsid w:val="13385187"/>
    <w:rsid w:val="144178C3"/>
    <w:rsid w:val="167C1082"/>
    <w:rsid w:val="168E55F8"/>
    <w:rsid w:val="16B94831"/>
    <w:rsid w:val="16BC59C2"/>
    <w:rsid w:val="18844C6D"/>
    <w:rsid w:val="193925FE"/>
    <w:rsid w:val="1C744CBF"/>
    <w:rsid w:val="1CD25B13"/>
    <w:rsid w:val="1D6E31FC"/>
    <w:rsid w:val="1D85581C"/>
    <w:rsid w:val="1FD800E8"/>
    <w:rsid w:val="200307FA"/>
    <w:rsid w:val="20A420AE"/>
    <w:rsid w:val="22DF4F83"/>
    <w:rsid w:val="230C7214"/>
    <w:rsid w:val="24302B07"/>
    <w:rsid w:val="243D1BD3"/>
    <w:rsid w:val="256B3D61"/>
    <w:rsid w:val="264178B0"/>
    <w:rsid w:val="26962633"/>
    <w:rsid w:val="26E130FE"/>
    <w:rsid w:val="29C372D4"/>
    <w:rsid w:val="29EC6874"/>
    <w:rsid w:val="2A351017"/>
    <w:rsid w:val="2D6329A9"/>
    <w:rsid w:val="2DA53533"/>
    <w:rsid w:val="305B1762"/>
    <w:rsid w:val="305C2E10"/>
    <w:rsid w:val="3085088F"/>
    <w:rsid w:val="315936DD"/>
    <w:rsid w:val="31A800DF"/>
    <w:rsid w:val="324A2389"/>
    <w:rsid w:val="32865768"/>
    <w:rsid w:val="328F1D91"/>
    <w:rsid w:val="32C66482"/>
    <w:rsid w:val="34521626"/>
    <w:rsid w:val="35683252"/>
    <w:rsid w:val="36BE748E"/>
    <w:rsid w:val="36CB7059"/>
    <w:rsid w:val="376A0992"/>
    <w:rsid w:val="38E3475C"/>
    <w:rsid w:val="3951638D"/>
    <w:rsid w:val="3A242018"/>
    <w:rsid w:val="43666CD0"/>
    <w:rsid w:val="472973EE"/>
    <w:rsid w:val="477C3FDA"/>
    <w:rsid w:val="47E411CF"/>
    <w:rsid w:val="48C6202D"/>
    <w:rsid w:val="490966A2"/>
    <w:rsid w:val="496F41C2"/>
    <w:rsid w:val="49A66A4E"/>
    <w:rsid w:val="4AD36F68"/>
    <w:rsid w:val="4B5D43D7"/>
    <w:rsid w:val="4BC03402"/>
    <w:rsid w:val="4DBF1A26"/>
    <w:rsid w:val="4EC2028E"/>
    <w:rsid w:val="4EC2203E"/>
    <w:rsid w:val="4EE728E7"/>
    <w:rsid w:val="50447689"/>
    <w:rsid w:val="51B004D2"/>
    <w:rsid w:val="52A91D7A"/>
    <w:rsid w:val="54A70CC5"/>
    <w:rsid w:val="56301712"/>
    <w:rsid w:val="5681523A"/>
    <w:rsid w:val="576A0C54"/>
    <w:rsid w:val="5A1535D7"/>
    <w:rsid w:val="5A380B96"/>
    <w:rsid w:val="5D7F32CE"/>
    <w:rsid w:val="5F3F29C6"/>
    <w:rsid w:val="60884CBD"/>
    <w:rsid w:val="60B230E1"/>
    <w:rsid w:val="636D1293"/>
    <w:rsid w:val="637274E6"/>
    <w:rsid w:val="63894210"/>
    <w:rsid w:val="662F72F1"/>
    <w:rsid w:val="66B263EF"/>
    <w:rsid w:val="69175946"/>
    <w:rsid w:val="6B49147A"/>
    <w:rsid w:val="6B7F4B26"/>
    <w:rsid w:val="6C0749A4"/>
    <w:rsid w:val="6C1B6290"/>
    <w:rsid w:val="6C256402"/>
    <w:rsid w:val="6C5E2742"/>
    <w:rsid w:val="6CB542C8"/>
    <w:rsid w:val="6CC62031"/>
    <w:rsid w:val="7076663E"/>
    <w:rsid w:val="70AE175A"/>
    <w:rsid w:val="70F92319"/>
    <w:rsid w:val="728C4B01"/>
    <w:rsid w:val="729A1F96"/>
    <w:rsid w:val="739C7F8F"/>
    <w:rsid w:val="73BE1EBD"/>
    <w:rsid w:val="74232EF6"/>
    <w:rsid w:val="748B04A5"/>
    <w:rsid w:val="74D47E83"/>
    <w:rsid w:val="753F0C2D"/>
    <w:rsid w:val="77DE623F"/>
    <w:rsid w:val="78CC0C1A"/>
    <w:rsid w:val="791A5BDE"/>
    <w:rsid w:val="7C9338B5"/>
    <w:rsid w:val="7EBE525E"/>
    <w:rsid w:val="7F6D60FB"/>
    <w:rsid w:val="7F781CD9"/>
    <w:rsid w:val="7FD55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F:\&#36130;&#25919;(2019.9.13)\2024\&#36130;&#25919;&#23616;\&#22269;&#24211;&#39044;&#31639;\&#19978;&#20132;&#25991;&#26723;\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476401179941"/>
          <c:y val="0.642836552320553"/>
          <c:w val="0.203687315634218"/>
          <c:h val="0.207264341308735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ln w="9525" cap="flat" cmpd="sng" algn="ctr">
      <a:solidFill>
        <a:schemeClr val="tx2">
          <a:lumMod val="20000"/>
          <a:lumOff val="80000"/>
        </a:schemeClr>
      </a:solidFill>
      <a:prstDash val="solid"/>
      <a:round/>
    </a:ln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600" b="1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>
                <a:solidFill>
                  <a:sysClr val="windowText" lastClr="000000"/>
                </a:solidFill>
              </a:rPr>
              <a:t>支出预算图</a:t>
            </a:r>
            <a:endParaRPr>
              <a:solidFill>
                <a:sysClr val="windowText" lastClr="000000"/>
              </a:solidFill>
            </a:endParaRPr>
          </a:p>
        </c:rich>
      </c:tx>
      <c:layout>
        <c:manualLayout>
          <c:xMode val="edge"/>
          <c:yMode val="edge"/>
          <c:x val="0.344362563264117"/>
          <c:y val="0.0178986882537641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25839361309879"/>
          <c:y val="0.162257038706014"/>
          <c:w val="0.602128908742821"/>
          <c:h val="0.634096774193548"/>
        </c:manualLayout>
      </c:layout>
      <c:pieChart>
        <c:varyColors val="1"/>
        <c:ser>
          <c:idx val="0"/>
          <c:order val="0"/>
          <c:spPr/>
          <c:explosion val="0"/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5"/>
            <c:bubble3D val="0"/>
            <c:spPr>
              <a:gradFill rotWithShape="1">
                <a:gsLst>
                  <a:gs pos="0">
                    <a:schemeClr val="accent6">
                      <a:shade val="51000"/>
                      <a:satMod val="130000"/>
                    </a:schemeClr>
                  </a:gs>
                  <a:gs pos="80000">
                    <a:schemeClr val="accent6">
                      <a:shade val="93000"/>
                      <a:satMod val="130000"/>
                    </a:schemeClr>
                  </a:gs>
                  <a:gs pos="100000">
                    <a:schemeClr val="accent6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3"/>
              <c:layout>
                <c:manualLayout>
                  <c:x val="-0.0751725424361127"/>
                  <c:y val="-0.0154396619760555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0.00877204404977251"/>
                  <c:y val="0.0207453364444916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[图.xlsx]Sheet1!$B$3:$B$8</c:f>
              <c:strCache>
                <c:ptCount val="6"/>
                <c:pt idx="0">
                  <c:v>一般公共服务支出</c:v>
                </c:pt>
                <c:pt idx="1">
                  <c:v>社会保障和就业支出</c:v>
                </c:pt>
                <c:pt idx="2">
                  <c:v>卫生健康支出</c:v>
                </c:pt>
                <c:pt idx="3">
                  <c:v>城乡社区支出</c:v>
                </c:pt>
                <c:pt idx="4">
                  <c:v>农林水支出</c:v>
                </c:pt>
                <c:pt idx="5">
                  <c:v>住房保障支出</c:v>
                </c:pt>
              </c:strCache>
            </c:strRef>
          </c:cat>
          <c:val>
            <c:numRef>
              <c:f>[图.xlsx]Sheet1!$C$3:$C$8</c:f>
              <c:numCache>
                <c:formatCode>0.00%</c:formatCode>
                <c:ptCount val="6"/>
                <c:pt idx="0">
                  <c:v>0.61830776598292</c:v>
                </c:pt>
                <c:pt idx="1">
                  <c:v>0.0905126977412403</c:v>
                </c:pt>
                <c:pt idx="2">
                  <c:v>0.027057373293958</c:v>
                </c:pt>
                <c:pt idx="3">
                  <c:v>0.048527416393966</c:v>
                </c:pt>
                <c:pt idx="4">
                  <c:v>0.171282624311597</c:v>
                </c:pt>
                <c:pt idx="5">
                  <c:v>0.044310620161226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0777839955232233"/>
          <c:y val="0.840388900141786"/>
          <c:w val="0.811602313001306"/>
          <c:h val="0.108162851934373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3647</Words>
  <Characters>3968</Characters>
  <Lines>0</Lines>
  <Paragraphs>0</Paragraphs>
  <TotalTime>4</TotalTime>
  <ScaleCrop>false</ScaleCrop>
  <LinksUpToDate>false</LinksUpToDate>
  <CharactersWithSpaces>3974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2024-06-20T14:42:39Z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AA6161384DF4417F82CE6AEF8ABCBB2E_11</vt:lpwstr>
  </property>
</Properties>
</file>