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岳阳</w:t>
      </w:r>
      <w:r>
        <w:rPr>
          <w:rFonts w:hint="eastAsia" w:ascii="方正小标宋简体" w:hAnsi="方正小标宋简体" w:eastAsia="方正小标宋简体" w:cs="方正小标宋简体"/>
          <w:b/>
          <w:bCs/>
          <w:sz w:val="44"/>
          <w:szCs w:val="44"/>
        </w:rPr>
        <w:t>市</w:t>
      </w:r>
      <w:r>
        <w:rPr>
          <w:rFonts w:hint="eastAsia" w:ascii="方正小标宋简体" w:hAnsi="方正小标宋简体" w:eastAsia="方正小标宋简体" w:cs="方正小标宋简体"/>
          <w:b/>
          <w:bCs/>
          <w:sz w:val="44"/>
          <w:szCs w:val="44"/>
          <w:lang w:val="en-US" w:eastAsia="zh-CN"/>
        </w:rPr>
        <w:t>君山区行政审批服务局</w:t>
      </w:r>
    </w:p>
    <w:p>
      <w:pPr>
        <w:spacing w:line="570" w:lineRule="atLeast"/>
        <w:jc w:val="center"/>
        <w:rPr>
          <w:rFonts w:hint="eastAsia" w:ascii="黑体" w:hAnsi="黑体" w:eastAsia="黑体" w:cs="黑体"/>
          <w:b/>
          <w:bCs/>
          <w:sz w:val="48"/>
          <w:szCs w:val="48"/>
        </w:rPr>
      </w:pPr>
      <w:r>
        <w:rPr>
          <w:rFonts w:hint="eastAsia" w:ascii="方正小标宋简体" w:hAnsi="方正小标宋简体" w:eastAsia="方正小标宋简体" w:cs="方正小标宋简体"/>
          <w:b/>
          <w:bCs/>
          <w:sz w:val="44"/>
          <w:szCs w:val="44"/>
        </w:rPr>
        <w:t>2024年部门预算公开</w:t>
      </w:r>
    </w:p>
    <w:p>
      <w:pPr>
        <w:rPr>
          <w:rFonts w:hint="eastAsia"/>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hint="eastAsia" w:asciiTheme="minorEastAsia" w:hAnsiTheme="minorEastAsia" w:eastAsiaTheme="minorEastAsia" w:cstheme="minorEastAsia"/>
          <w:sz w:val="28"/>
          <w:szCs w:val="28"/>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center"/>
        <w:rPr>
          <w:rFonts w:hint="eastAsia" w:asciiTheme="minorEastAsia" w:hAnsiTheme="minorEastAsia" w:eastAsiaTheme="minorEastAsia" w:cstheme="minorEastAsia"/>
          <w:b/>
          <w:bCs/>
          <w:sz w:val="28"/>
          <w:szCs w:val="28"/>
        </w:rPr>
      </w:pPr>
    </w:p>
    <w:p>
      <w:pPr>
        <w:jc w:val="center"/>
        <w:rPr>
          <w:rFonts w:hint="eastAsia" w:ascii="Times New Roman" w:hAnsi="Times New Roman" w:eastAsia="方正小标宋_GBK" w:cs="Times New Roman"/>
          <w:b/>
          <w:bCs/>
          <w:kern w:val="0"/>
          <w:sz w:val="36"/>
          <w:szCs w:val="36"/>
        </w:rPr>
      </w:pPr>
      <w:r>
        <w:rPr>
          <w:rFonts w:hint="eastAsia" w:ascii="Times New Roman" w:hAnsi="Times New Roman" w:eastAsia="方正小标宋_GBK" w:cs="Times New Roman"/>
          <w:b/>
          <w:bCs/>
          <w:kern w:val="0"/>
          <w:sz w:val="36"/>
          <w:szCs w:val="36"/>
        </w:rPr>
        <w:t>第一部分 部门预算公开说明</w:t>
      </w:r>
    </w:p>
    <w:p>
      <w:pPr>
        <w:widowControl/>
        <w:spacing w:line="570" w:lineRule="atLeast"/>
        <w:ind w:firstLine="643" w:firstLineChars="200"/>
        <w:rPr>
          <w:rFonts w:hint="eastAsia" w:ascii="Times New Roman" w:hAnsi="Times New Roman" w:eastAsia="黑体" w:cs="Times New Roman"/>
          <w:b/>
          <w:bCs/>
          <w:kern w:val="0"/>
          <w:sz w:val="32"/>
          <w:szCs w:val="32"/>
        </w:rPr>
      </w:pP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widowControl/>
        <w:spacing w:line="600" w:lineRule="exact"/>
        <w:ind w:left="141" w:leftChars="67" w:firstLine="640" w:firstLineChars="200"/>
        <w:rPr>
          <w:rFonts w:eastAsia="仿宋_GB2312"/>
          <w:sz w:val="32"/>
          <w:szCs w:val="32"/>
        </w:rPr>
      </w:pPr>
      <w:r>
        <w:rPr>
          <w:rFonts w:hint="eastAsia" w:eastAsia="仿宋_GB2312"/>
          <w:sz w:val="32"/>
          <w:szCs w:val="32"/>
        </w:rPr>
        <w:t>区行政审批服务局</w:t>
      </w:r>
      <w:r>
        <w:rPr>
          <w:rFonts w:eastAsia="仿宋_GB2312"/>
          <w:sz w:val="32"/>
          <w:szCs w:val="32"/>
        </w:rPr>
        <w:t>为政府组成部门，主要</w:t>
      </w:r>
      <w:r>
        <w:rPr>
          <w:rFonts w:hint="eastAsia" w:eastAsia="仿宋_GB2312"/>
          <w:sz w:val="32"/>
          <w:szCs w:val="32"/>
        </w:rPr>
        <w:t>职责贯彻执行国家、省、市有关行政审批制度改革、政务服务、电子政务管理工作的方针政策和决策部署；指导、协调、推进全区行政审批制度改革工作。推进、指导、协调、监督全区政务公开（政府信息公开、办事公开）工作及业务培训、考评工作。承担区优化经济发展环境办公室职责。组织、协调职能部门行政审批涉及的现场勘查、技术论证和社会听证等工作。组织、协调职能部门对行政审批、公共服务事项流程进行规范和优化，推进政务服务标准化建设。统筹协调、规划指导、管理全区政府系统电子政务工作；统筹推进、监督协调全区“互联网+政务服务”工作；管理维护区政府门户网站。组织、协调、推进和监督全区行政审批和公共服务事项进驻区政务服务大厅集中办理；综合协调、监督区政务服务大厅日常管理工作。统筹协调、监督指导全区12345政府服务热线和市长、区长信箱来信办理工作，建立运行规程和考核体系。指导、协调、推进区、镇（街道）、村（社区）三级便民服务体系建设。完成区委、区政府交办的其他任务。</w:t>
      </w:r>
    </w:p>
    <w:p>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widowControl/>
        <w:spacing w:line="600" w:lineRule="exact"/>
        <w:ind w:left="141" w:leftChars="67" w:firstLine="640" w:firstLineChars="200"/>
        <w:rPr>
          <w:rFonts w:eastAsia="仿宋_GB2312"/>
          <w:sz w:val="32"/>
          <w:szCs w:val="32"/>
        </w:rPr>
      </w:pPr>
      <w:r>
        <w:rPr>
          <w:rFonts w:hint="eastAsia" w:eastAsia="仿宋_GB2312"/>
          <w:sz w:val="32"/>
          <w:szCs w:val="32"/>
          <w:lang w:eastAsia="zh-CN"/>
        </w:rPr>
        <w:t>区行政审批服务局</w:t>
      </w:r>
      <w:r>
        <w:rPr>
          <w:rFonts w:eastAsia="仿宋_GB2312"/>
          <w:sz w:val="32"/>
          <w:szCs w:val="32"/>
        </w:rPr>
        <w:t>内设</w:t>
      </w:r>
      <w:r>
        <w:rPr>
          <w:rFonts w:hint="eastAsia" w:eastAsia="仿宋_GB2312"/>
          <w:sz w:val="32"/>
          <w:szCs w:val="32"/>
        </w:rPr>
        <w:t>七</w:t>
      </w:r>
      <w:r>
        <w:rPr>
          <w:rFonts w:eastAsia="仿宋_GB2312"/>
          <w:sz w:val="32"/>
          <w:szCs w:val="32"/>
        </w:rPr>
        <w:t>个股室：办公室、行政审批制度改革股、政务公开股、政务服务管理股、热线办</w:t>
      </w:r>
      <w:r>
        <w:rPr>
          <w:rFonts w:hint="eastAsia" w:eastAsia="仿宋_GB2312"/>
          <w:sz w:val="32"/>
          <w:szCs w:val="32"/>
        </w:rPr>
        <w:t>、</w:t>
      </w:r>
      <w:r>
        <w:rPr>
          <w:rFonts w:eastAsia="仿宋_GB2312"/>
          <w:sz w:val="32"/>
          <w:szCs w:val="32"/>
        </w:rPr>
        <w:t>电子政务办和</w:t>
      </w:r>
      <w:r>
        <w:rPr>
          <w:rFonts w:hint="eastAsia" w:eastAsia="仿宋_GB2312"/>
          <w:sz w:val="32"/>
          <w:szCs w:val="32"/>
        </w:rPr>
        <w:t>优化办</w:t>
      </w:r>
      <w:r>
        <w:rPr>
          <w:rFonts w:eastAsia="仿宋_GB2312"/>
          <w:sz w:val="32"/>
          <w:szCs w:val="32"/>
        </w:rPr>
        <w:t>；下设两个副科级事业单位：区政务服务中心和区现场勘查中心。财政核定机关行政编制</w:t>
      </w:r>
      <w:r>
        <w:rPr>
          <w:rFonts w:hint="eastAsia" w:eastAsia="仿宋_GB2312"/>
          <w:sz w:val="32"/>
          <w:szCs w:val="32"/>
          <w:lang w:val="en-US" w:eastAsia="zh-CN"/>
        </w:rPr>
        <w:t>4</w:t>
      </w:r>
      <w:r>
        <w:rPr>
          <w:rFonts w:eastAsia="仿宋_GB2312"/>
          <w:sz w:val="32"/>
          <w:szCs w:val="32"/>
        </w:rPr>
        <w:t>名，其中：局长1名，副局长</w:t>
      </w:r>
      <w:r>
        <w:rPr>
          <w:rFonts w:hint="eastAsia" w:eastAsia="仿宋_GB2312"/>
          <w:sz w:val="32"/>
          <w:szCs w:val="32"/>
          <w:lang w:val="en-US" w:eastAsia="zh-CN"/>
        </w:rPr>
        <w:t>2</w:t>
      </w:r>
      <w:r>
        <w:rPr>
          <w:rFonts w:eastAsia="仿宋_GB2312"/>
          <w:sz w:val="32"/>
          <w:szCs w:val="32"/>
        </w:rPr>
        <w:t>名，股级领导职数</w:t>
      </w:r>
      <w:r>
        <w:rPr>
          <w:rFonts w:hint="eastAsia" w:eastAsia="仿宋_GB2312"/>
          <w:sz w:val="32"/>
          <w:szCs w:val="32"/>
          <w:lang w:val="en-US" w:eastAsia="zh-CN"/>
        </w:rPr>
        <w:t>1</w:t>
      </w:r>
      <w:r>
        <w:rPr>
          <w:rFonts w:eastAsia="仿宋_GB2312"/>
          <w:sz w:val="32"/>
          <w:szCs w:val="32"/>
        </w:rPr>
        <w:t>名（含党支部专职副书记1名）；财政核定区政务服务中心全额拨款事业编制7名，其中：主任1名，副主任2名，工作人员4名；财政核定区现场勘查中心</w:t>
      </w:r>
      <w:r>
        <w:rPr>
          <w:rFonts w:hint="eastAsia" w:eastAsia="仿宋_GB2312"/>
          <w:sz w:val="32"/>
          <w:szCs w:val="32"/>
          <w:lang w:val="en-US" w:eastAsia="zh-CN"/>
        </w:rPr>
        <w:t>3</w:t>
      </w:r>
      <w:r>
        <w:rPr>
          <w:rFonts w:eastAsia="仿宋_GB2312"/>
          <w:sz w:val="32"/>
          <w:szCs w:val="32"/>
        </w:rPr>
        <w:t>名，其中：主任1名，副主任1名，工作人员</w:t>
      </w:r>
      <w:r>
        <w:rPr>
          <w:rFonts w:hint="eastAsia" w:eastAsia="仿宋_GB2312"/>
          <w:sz w:val="32"/>
          <w:szCs w:val="32"/>
          <w:lang w:val="en-US" w:eastAsia="zh-CN"/>
        </w:rPr>
        <w:t>1</w:t>
      </w:r>
      <w:r>
        <w:rPr>
          <w:rFonts w:eastAsia="仿宋_GB2312"/>
          <w:sz w:val="32"/>
          <w:szCs w:val="32"/>
        </w:rPr>
        <w:t>名。经区政府主要领导同意，报经编办人社部门审核备案，</w:t>
      </w:r>
      <w:r>
        <w:rPr>
          <w:rFonts w:hint="eastAsia" w:eastAsia="仿宋_GB2312"/>
          <w:sz w:val="32"/>
          <w:szCs w:val="32"/>
        </w:rPr>
        <w:t>聘用派遣人员</w:t>
      </w:r>
      <w:r>
        <w:rPr>
          <w:rFonts w:hint="eastAsia" w:eastAsia="仿宋_GB2312"/>
          <w:sz w:val="32"/>
          <w:szCs w:val="32"/>
          <w:lang w:val="en-US" w:eastAsia="zh-CN"/>
        </w:rPr>
        <w:t>22</w:t>
      </w:r>
      <w:r>
        <w:rPr>
          <w:rFonts w:hint="eastAsia" w:eastAsia="仿宋_GB2312"/>
          <w:sz w:val="32"/>
          <w:szCs w:val="32"/>
        </w:rPr>
        <w:t>人，</w:t>
      </w:r>
      <w:r>
        <w:rPr>
          <w:rFonts w:eastAsia="仿宋_GB2312"/>
          <w:sz w:val="32"/>
          <w:szCs w:val="32"/>
        </w:rPr>
        <w:t>经</w:t>
      </w:r>
      <w:r>
        <w:rPr>
          <w:rFonts w:hint="eastAsia" w:eastAsia="仿宋_GB2312"/>
          <w:sz w:val="32"/>
          <w:szCs w:val="32"/>
        </w:rPr>
        <w:t>统</w:t>
      </w:r>
      <w:r>
        <w:rPr>
          <w:rFonts w:eastAsia="仿宋_GB2312"/>
          <w:sz w:val="32"/>
          <w:szCs w:val="32"/>
        </w:rPr>
        <w:t>计工作人员</w:t>
      </w:r>
      <w:r>
        <w:rPr>
          <w:rFonts w:hint="eastAsia" w:eastAsia="仿宋_GB2312"/>
          <w:sz w:val="32"/>
          <w:szCs w:val="32"/>
          <w:lang w:val="en-US" w:eastAsia="zh-CN"/>
        </w:rPr>
        <w:t>36</w:t>
      </w:r>
      <w:r>
        <w:rPr>
          <w:rFonts w:eastAsia="仿宋_GB2312"/>
          <w:sz w:val="32"/>
          <w:szCs w:val="32"/>
        </w:rPr>
        <w:t>名。</w:t>
      </w:r>
    </w:p>
    <w:p>
      <w:pPr>
        <w:spacing w:line="570" w:lineRule="atLeast"/>
        <w:ind w:firstLine="643" w:firstLineChars="200"/>
        <w:rPr>
          <w:rFonts w:hint="eastAsia" w:ascii="Times New Roman" w:hAnsi="Times New Roman" w:eastAsia="黑体" w:cs="Times New Roman"/>
          <w:b/>
          <w:bCs/>
          <w:color w:val="auto"/>
          <w:kern w:val="0"/>
          <w:sz w:val="32"/>
          <w:szCs w:val="32"/>
          <w:highlight w:val="none"/>
        </w:rPr>
      </w:pPr>
      <w:r>
        <w:rPr>
          <w:rFonts w:hint="eastAsia" w:ascii="Times New Roman" w:hAnsi="Times New Roman" w:eastAsia="黑体" w:cs="Times New Roman"/>
          <w:b/>
          <w:bCs/>
          <w:color w:val="auto"/>
          <w:kern w:val="0"/>
          <w:sz w:val="32"/>
          <w:szCs w:val="32"/>
          <w:highlight w:val="none"/>
        </w:rPr>
        <w:t>二、部门预算单位构成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Theme="minorEastAsia" w:hAnsiTheme="minorEastAsia" w:eastAsiaTheme="minorEastAsia" w:cstheme="minorEastAsia"/>
          <w:i w:val="0"/>
          <w:iCs w:val="0"/>
          <w:caps w:val="0"/>
          <w:color w:val="auto"/>
          <w:spacing w:val="0"/>
          <w:sz w:val="28"/>
          <w:szCs w:val="28"/>
          <w:highlight w:val="none"/>
          <w:shd w:val="clear" w:fill="FFFFFF"/>
        </w:rPr>
      </w:pPr>
      <w:bookmarkStart w:id="0" w:name="DEPT_COMPOSE"/>
      <w:r>
        <w:rPr>
          <w:rFonts w:hint="eastAsia" w:ascii="仿宋_GB2312" w:hAnsi="仿宋_GB2312" w:eastAsia="仿宋_GB2312" w:cs="仿宋_GB2312"/>
          <w:color w:val="auto"/>
          <w:kern w:val="2"/>
          <w:sz w:val="32"/>
          <w:szCs w:val="32"/>
          <w:highlight w:val="none"/>
          <w:shd w:val="clear" w:color="auto" w:fill="FFFFFF"/>
          <w:lang w:val="en-US" w:eastAsia="zh-CN" w:bidi="ar-SA"/>
        </w:rPr>
        <w:t>岳阳市君山区行政审批服务局部门只有本级，没有其他二级预算单位，因此，纳入2024年部门预算编制范围的只有岳阳市君山区行政审批服务局本级。</w:t>
      </w:r>
      <w:bookmarkEnd w:id="0"/>
    </w:p>
    <w:p>
      <w:pPr>
        <w:widowControl/>
        <w:spacing w:line="570" w:lineRule="atLeast"/>
        <w:ind w:firstLine="643" w:firstLineChars="200"/>
        <w:rPr>
          <w:rFonts w:hint="eastAsia" w:ascii="Times New Roman" w:hAnsi="Times New Roman" w:eastAsia="黑体" w:cs="Times New Roman"/>
          <w:b/>
          <w:bCs/>
          <w:color w:val="auto"/>
          <w:kern w:val="0"/>
          <w:sz w:val="32"/>
          <w:szCs w:val="32"/>
          <w:highlight w:val="none"/>
        </w:rPr>
      </w:pPr>
      <w:r>
        <w:rPr>
          <w:rFonts w:hint="eastAsia" w:ascii="Times New Roman" w:hAnsi="Times New Roman" w:eastAsia="黑体" w:cs="Times New Roman"/>
          <w:b/>
          <w:bCs/>
          <w:color w:val="auto"/>
          <w:kern w:val="0"/>
          <w:sz w:val="32"/>
          <w:szCs w:val="32"/>
          <w:highlight w:val="none"/>
          <w:lang w:val="en-US" w:eastAsia="zh-CN"/>
        </w:rPr>
        <w:t>三、</w:t>
      </w:r>
      <w:r>
        <w:rPr>
          <w:rFonts w:hint="eastAsia" w:ascii="Times New Roman" w:hAnsi="Times New Roman" w:eastAsia="黑体" w:cs="Times New Roman"/>
          <w:b/>
          <w:bCs/>
          <w:color w:val="auto"/>
          <w:kern w:val="0"/>
          <w:sz w:val="32"/>
          <w:szCs w:val="32"/>
          <w:highlight w:val="none"/>
        </w:rPr>
        <w:t>部门收支总体情况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auto"/>
          <w:kern w:val="2"/>
          <w:sz w:val="32"/>
          <w:szCs w:val="32"/>
          <w:highlight w:val="none"/>
          <w:shd w:val="clear" w:color="auto" w:fill="FFFFFF"/>
          <w:lang w:val="en-US" w:eastAsia="zh-CN" w:bidi="ar-SA"/>
        </w:rPr>
      </w:pPr>
      <w:r>
        <w:rPr>
          <w:rFonts w:hint="eastAsia" w:ascii="仿宋_GB2312" w:hAnsi="仿宋_GB2312" w:eastAsia="仿宋_GB2312" w:cs="仿宋_GB2312"/>
          <w:color w:val="auto"/>
          <w:kern w:val="2"/>
          <w:sz w:val="32"/>
          <w:szCs w:val="32"/>
          <w:highlight w:val="none"/>
          <w:shd w:val="clear" w:color="auto" w:fill="FFFFFF"/>
          <w:lang w:val="en-US" w:eastAsia="zh-CN" w:bidi="ar-SA"/>
        </w:rPr>
        <w:t>本部门2024年没有政府性基金预算拨款、国有资本经营预算收入和纳入专户管理的非税收入拨款收入，也没有使用政府性基金预算拨款、国有资本经营预算收入和纳入专户管理的非税收入拨款安排的支出，所以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15、16、17、18、19表均为空。</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color w:val="auto"/>
          <w:kern w:val="2"/>
          <w:sz w:val="32"/>
          <w:szCs w:val="32"/>
          <w:highlight w:val="none"/>
          <w:lang w:val="en-US" w:eastAsia="zh-CN" w:bidi="ar-SA"/>
        </w:rPr>
        <w:t>收入预算：</w:t>
      </w:r>
      <w:r>
        <w:rPr>
          <w:rFonts w:hint="eastAsia" w:ascii="仿宋_GB2312" w:hAnsi="仿宋_GB2312" w:eastAsia="仿宋_GB2312" w:cs="仿宋_GB2312"/>
          <w:color w:val="auto"/>
          <w:kern w:val="2"/>
          <w:sz w:val="32"/>
          <w:szCs w:val="32"/>
          <w:highlight w:val="none"/>
          <w:shd w:val="clear" w:color="auto" w:fill="FFFFFF"/>
          <w:lang w:val="en-US" w:eastAsia="zh-CN" w:bidi="ar-SA"/>
        </w:rPr>
        <w:t>包括一般公共预算、政府性基金、国有资本经营预算等财政拨款收入，以及经营收入、事业收入等单位资金。2024年本部门收入预算1116.88万元，其中，一般公共预算拨款1116.88万元，政府性基金预算资金0.00万元(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15-17表为空)，国有资本经营预算资金0.00万元(所以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18表为空)，财政专户管理资金0.00万元(所以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19表为空</w:t>
      </w:r>
      <w:r>
        <w:rPr>
          <w:rFonts w:hint="eastAsia" w:ascii="仿宋_GB2312" w:hAnsi="仿宋_GB2312" w:eastAsia="仿宋_GB2312" w:cs="仿宋_GB2312"/>
          <w:color w:val="000000"/>
          <w:kern w:val="2"/>
          <w:sz w:val="32"/>
          <w:szCs w:val="32"/>
          <w:shd w:val="clear" w:color="auto" w:fill="FFFFFF"/>
          <w:lang w:val="en-US" w:eastAsia="zh-CN" w:bidi="ar-SA"/>
        </w:rPr>
        <w:t>)，上级补助收入资金0.00万元，事业单位经营收入资金0.00万元，上年结转结余0.00万元。收入较上年减少62.82万元，下降5.33%。主要原因是单位项目减少从而导致单位项目经费减少。</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Chars="200"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drawing>
          <wp:inline distT="0" distB="0" distL="114300" distR="114300">
            <wp:extent cx="4886325" cy="2667000"/>
            <wp:effectExtent l="6350" t="6350" r="22225" b="1270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kern w:val="2"/>
          <w:sz w:val="32"/>
          <w:szCs w:val="32"/>
          <w:lang w:val="en-US" w:eastAsia="zh-CN" w:bidi="ar-SA"/>
        </w:rPr>
        <w:t>支出预算：</w:t>
      </w:r>
      <w:r>
        <w:rPr>
          <w:rFonts w:hint="eastAsia" w:ascii="仿宋_GB2312" w:hAnsi="仿宋_GB2312" w:eastAsia="仿宋_GB2312" w:cs="仿宋_GB2312"/>
          <w:color w:val="000000"/>
          <w:kern w:val="2"/>
          <w:sz w:val="32"/>
          <w:szCs w:val="32"/>
          <w:shd w:val="clear" w:color="auto" w:fill="FFFFFF"/>
          <w:lang w:val="en-US" w:eastAsia="zh-CN" w:bidi="ar-SA"/>
        </w:rPr>
        <w:t>2024年本部门支出预算1116.88万元，其中：一般公共服务支出1072.21万元，社会保障和就业支出21.51万元，卫生健康支出8.59万元，住房保障支出14.57万元。支出较上年减少62.82万元，下降5.33%。主要原因是单位人员变动，从而导致工资福利及商品服务支出减少。从而导致项目预算支出减少。</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四、一般公共预算拨款支出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8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drawing>
          <wp:inline distT="0" distB="0" distL="114300" distR="114300">
            <wp:extent cx="5273040" cy="3053080"/>
            <wp:effectExtent l="4445" t="4445" r="18415" b="9525"/>
            <wp:docPr id="2" name="图表 1" descr="7b0a202020202263686172745265734964223a202232303437303930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eastAsia" w:ascii="仿宋_GB2312" w:hAnsi="仿宋_GB2312" w:eastAsia="仿宋_GB2312" w:cs="仿宋_GB2312"/>
          <w:color w:val="000000"/>
          <w:kern w:val="2"/>
          <w:sz w:val="32"/>
          <w:szCs w:val="32"/>
          <w:shd w:val="clear" w:color="auto" w:fill="FFFFFF"/>
          <w:lang w:val="en-US" w:eastAsia="zh-CN" w:bidi="ar-SA"/>
        </w:rPr>
        <w:t>2024年本部门一般公共预算拨款支出1116.88万元，其中：一般公共服务支出1072.21万元，占96%；社会保障和就业支出21.51万元，占1.92%；卫生健康支出8.59万元，占0.77%；住房保障支出14.57万元，占1.31%。具体安排情况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sz w:val="32"/>
          <w:szCs w:val="32"/>
        </w:rPr>
        <w:t>（一）基本支出：</w:t>
      </w:r>
      <w:r>
        <w:rPr>
          <w:rFonts w:hint="eastAsia" w:ascii="仿宋_GB2312" w:hAnsi="仿宋_GB2312" w:eastAsia="仿宋_GB2312" w:cs="仿宋_GB2312"/>
          <w:color w:val="000000"/>
          <w:kern w:val="2"/>
          <w:sz w:val="32"/>
          <w:szCs w:val="32"/>
          <w:shd w:val="clear" w:color="auto" w:fill="FFFFFF"/>
          <w:lang w:val="en-US" w:eastAsia="zh-CN" w:bidi="ar-SA"/>
        </w:rPr>
        <w:t>2024年本部门基本支出预算数185.88万元，主要是为保障部门正常运转、完成日常工作任务而发生的各项支出，包括用于基本工资、津贴补贴等人员经费以及办公费、印刷费、水电费、办公设备购置等公用经费。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（二）项目支出：</w:t>
      </w:r>
      <w:r>
        <w:rPr>
          <w:rFonts w:hint="eastAsia" w:ascii="仿宋_GB2312" w:hAnsi="仿宋_GB2312" w:eastAsia="仿宋_GB2312" w:cs="仿宋_GB2312"/>
          <w:color w:val="000000"/>
          <w:kern w:val="2"/>
          <w:sz w:val="32"/>
          <w:szCs w:val="32"/>
          <w:shd w:val="clear" w:color="auto" w:fill="FFFFFF"/>
          <w:lang w:val="en-US" w:eastAsia="zh-CN" w:bidi="ar-SA"/>
        </w:rPr>
        <w:t>2024年本部门项目支出预算931万元，主要是本部门为完成特定工作任务或事业发展目标而发生的支出，包括有关事业发展专项、专项业务费、基本建设支出等，其中：一般公共服务支出931万元，主要用于政府门户网站和电子政务外网运行维护、政务大厅服务运转、设备更新、政务中心服务平台改造工程、智能视频感知网项目、君山区人民政府门户网站全面提质改造项目建设方案、深化一网通办打造一件事一次办升级版项目、君山区“协同办公”项目、君山区云视讯综合视频会议系统等项目经费。</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五、政府性基金预算支出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2024年度本部门无政府性基金安排的支出，所以公开的附件15-17表（政府性基金预算）为空。</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六、其他重要事项的情况说明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（一）机关运行经费：</w:t>
      </w:r>
      <w:r>
        <w:rPr>
          <w:rFonts w:hint="eastAsia" w:ascii="仿宋_GB2312" w:hAnsi="仿宋_GB2312" w:eastAsia="仿宋_GB2312" w:cs="仿宋_GB2312"/>
          <w:color w:val="000000"/>
          <w:kern w:val="2"/>
          <w:sz w:val="32"/>
          <w:szCs w:val="32"/>
          <w:shd w:val="clear" w:color="auto" w:fill="FFFFFF"/>
          <w:lang w:val="en-US" w:eastAsia="zh-CN" w:bidi="ar-SA"/>
        </w:rPr>
        <w:t>2024年君山区行政审批服务局部门机关运行经费19.74万元，比上年预算下降16.64%。主要原因是单位人员变动，造成公用经费预算减少。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（二）“三公”经费预算：</w:t>
      </w:r>
      <w:r>
        <w:rPr>
          <w:rFonts w:hint="eastAsia" w:ascii="仿宋_GB2312" w:hAnsi="仿宋_GB2312" w:eastAsia="仿宋_GB2312" w:cs="仿宋_GB2312"/>
          <w:color w:val="000000"/>
          <w:kern w:val="2"/>
          <w:sz w:val="32"/>
          <w:szCs w:val="32"/>
          <w:shd w:val="clear" w:color="auto" w:fill="FFFFFF"/>
          <w:lang w:val="en-US" w:eastAsia="zh-CN" w:bidi="ar-SA"/>
        </w:rPr>
        <w:t>2024年本部门“三公”经费预算数为0.5万元，其中，公务接待费0.5万元，公务用车购置及运行费0万元（其中，公务用车购置费0万元，公务用车运行费0万元），因公出国（境）费0万元。2024年“三公”经费预算较2023年减少0.5万元，主要原因是严格落实中央“八项规定”精神和“过紧日子”的要求，从严控制“三公”经费支出。</w:t>
      </w:r>
      <w:bookmarkStart w:id="1" w:name="DIS_MARK_IS_ZERO_06_2"/>
      <w:bookmarkEnd w:id="1"/>
      <w:bookmarkStart w:id="2" w:name="END_IS_ZERO_06_1"/>
      <w:bookmarkEnd w:id="2"/>
      <w:bookmarkStart w:id="3" w:name="END_IS_ZERO_06_2"/>
      <w:bookmarkEnd w:id="3"/>
      <w:bookmarkStart w:id="4" w:name="START_IS_ZERO_06_2"/>
      <w:bookmarkEnd w:id="4"/>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（三）一般性支出情况：</w:t>
      </w:r>
      <w:r>
        <w:rPr>
          <w:rFonts w:hint="eastAsia" w:ascii="仿宋_GB2312" w:hAnsi="仿宋_GB2312" w:eastAsia="仿宋_GB2312" w:cs="仿宋_GB2312"/>
          <w:color w:val="000000"/>
          <w:kern w:val="2"/>
          <w:sz w:val="32"/>
          <w:szCs w:val="32"/>
          <w:shd w:val="clear" w:color="auto" w:fill="FFFFFF"/>
          <w:lang w:val="en-US" w:eastAsia="zh-CN" w:bidi="ar-SA"/>
        </w:rPr>
        <w:t>2024年本部门会议费预算0.8万元，拟召开三等</w:t>
      </w:r>
      <w:r>
        <w:rPr>
          <w:rFonts w:hint="eastAsia" w:ascii="仿宋_GB2312" w:hAnsi="仿宋_GB2312" w:eastAsia="仿宋_GB2312" w:cs="仿宋_GB2312"/>
          <w:color w:val="000000"/>
          <w:sz w:val="32"/>
          <w:szCs w:val="32"/>
          <w:shd w:val="clear" w:color="auto" w:fill="FFFFFF"/>
          <w:lang w:val="en-US" w:eastAsia="zh-CN"/>
        </w:rPr>
        <w:t>2次</w:t>
      </w:r>
      <w:r>
        <w:rPr>
          <w:rFonts w:hint="eastAsia" w:ascii="仿宋_GB2312" w:hAnsi="仿宋_GB2312" w:eastAsia="仿宋_GB2312" w:cs="仿宋_GB2312"/>
          <w:color w:val="000000"/>
          <w:kern w:val="2"/>
          <w:sz w:val="32"/>
          <w:szCs w:val="32"/>
          <w:shd w:val="clear" w:color="auto" w:fill="FFFFFF"/>
          <w:lang w:val="en-US" w:eastAsia="zh-CN" w:bidi="ar-SA"/>
        </w:rPr>
        <w:t>会议，人数70人，内容为会场租赁、会议资料和其他杂费等；培训费预算0.8万元，拟开展三等2</w:t>
      </w:r>
      <w:r>
        <w:rPr>
          <w:rFonts w:hint="eastAsia" w:ascii="仿宋_GB2312" w:hAnsi="仿宋_GB2312" w:eastAsia="仿宋_GB2312" w:cs="仿宋_GB2312"/>
          <w:color w:val="000000"/>
          <w:sz w:val="32"/>
          <w:szCs w:val="32"/>
          <w:shd w:val="clear" w:color="auto" w:fill="FFFFFF"/>
          <w:lang w:val="en-US" w:eastAsia="zh-CN"/>
        </w:rPr>
        <w:t>次</w:t>
      </w:r>
      <w:r>
        <w:rPr>
          <w:rFonts w:hint="eastAsia" w:ascii="仿宋_GB2312" w:hAnsi="仿宋_GB2312" w:eastAsia="仿宋_GB2312" w:cs="仿宋_GB2312"/>
          <w:color w:val="000000"/>
          <w:kern w:val="2"/>
          <w:sz w:val="32"/>
          <w:szCs w:val="32"/>
          <w:shd w:val="clear" w:color="auto" w:fill="FFFFFF"/>
          <w:lang w:val="en-US" w:eastAsia="zh-CN" w:bidi="ar-SA"/>
        </w:rPr>
        <w:t>培训，人数60人，内容为授课费、场地租赁费、培训餐费等；2024年度本部门未计划举办节庆、晚会、论坛、赛事活动，经费预算0万元。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（四）政府采购情况：</w:t>
      </w:r>
      <w:r>
        <w:rPr>
          <w:rFonts w:hint="eastAsia" w:ascii="仿宋_GB2312" w:hAnsi="仿宋_GB2312" w:eastAsia="仿宋_GB2312" w:cs="仿宋_GB2312"/>
          <w:color w:val="000000"/>
          <w:kern w:val="2"/>
          <w:sz w:val="32"/>
          <w:szCs w:val="32"/>
          <w:shd w:val="clear" w:color="auto" w:fill="FFFFFF"/>
          <w:lang w:val="en-US" w:eastAsia="zh-CN" w:bidi="ar-SA"/>
        </w:rPr>
        <w:t>2024年本部门政府采购预算总额250.13万元，其中，货物类采购预算45.8万元；工程类采购预算0万元；服务类采购预算204.33万元。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（五）国有资产占用使用及新增资产配置情况：</w:t>
      </w:r>
      <w:r>
        <w:rPr>
          <w:rFonts w:hint="eastAsia" w:ascii="仿宋_GB2312" w:hAnsi="仿宋_GB2312" w:eastAsia="仿宋_GB2312" w:cs="仿宋_GB2312"/>
          <w:color w:val="000000"/>
          <w:kern w:val="2"/>
          <w:sz w:val="32"/>
          <w:szCs w:val="32"/>
          <w:shd w:val="clear" w:color="auto" w:fill="FFFFFF"/>
          <w:lang w:val="en-US" w:eastAsia="zh-CN" w:bidi="ar-SA"/>
        </w:rPr>
        <w:t>截至2023年12月底，本部门共有公务用车0辆，其中，机要通信用车0辆，应急保障用车0辆，执法执勤用车0辆，特种专业技术用车0辆，其他按照规定配备的公务用车0辆；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textAlignment w:val="center"/>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2024年拟新增配置公务用车0辆，其中，机要通信用车0辆，应急保障用车0辆，执法执勤用</w:t>
      </w:r>
      <w:r>
        <w:rPr>
          <w:rFonts w:hint="eastAsia" w:ascii="仿宋_GB2312" w:hAnsi="仿宋_GB2312" w:eastAsia="仿宋_GB2312" w:cs="仿宋_GB2312"/>
          <w:color w:val="000000"/>
          <w:kern w:val="2"/>
          <w:sz w:val="32"/>
          <w:szCs w:val="32"/>
          <w:highlight w:val="none"/>
          <w:shd w:val="clear" w:color="auto" w:fill="FFFFFF"/>
          <w:lang w:val="en-US" w:eastAsia="zh-CN" w:bidi="ar-SA"/>
        </w:rPr>
        <w:t>车0辆，特种专业技术用车0辆，其他按照规定配备的公务用车0辆；新增配备单位价值50万元以上设备0台，其中，单位价值100万元以上设备0台。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highlight w:val="none"/>
          <w:shd w:val="clear" w:color="auto" w:fill="FFFFFF"/>
          <w:lang w:val="en-US" w:eastAsia="zh-CN" w:bidi="ar-SA"/>
        </w:rPr>
        <w:t>（六）预算绩效目标说明：</w:t>
      </w:r>
      <w:r>
        <w:rPr>
          <w:rFonts w:hint="eastAsia" w:ascii="仿宋_GB2312" w:hAnsi="仿宋_GB2312" w:eastAsia="仿宋_GB2312" w:cs="仿宋_GB2312"/>
          <w:color w:val="000000"/>
          <w:kern w:val="2"/>
          <w:sz w:val="32"/>
          <w:szCs w:val="32"/>
          <w:highlight w:val="none"/>
          <w:shd w:val="clear" w:color="auto" w:fill="FFFFFF"/>
          <w:lang w:val="en-US" w:eastAsia="zh-CN" w:bidi="ar-SA"/>
        </w:rPr>
        <w:t>本部门所有支出实行绩效目标管理。纳入2024年部门整体支出绩效目标的金额为1116.88万元，其中，基本支出185.88万元，项目支出931万元，具体绩效目标详见文尾附表中部门预算公开表21-22表</w:t>
      </w:r>
      <w:r>
        <w:rPr>
          <w:rFonts w:hint="eastAsia" w:ascii="仿宋_GB2312" w:hAnsi="仿宋_GB2312" w:eastAsia="仿宋_GB2312" w:cs="仿宋_GB2312"/>
          <w:color w:val="000000"/>
          <w:kern w:val="2"/>
          <w:sz w:val="32"/>
          <w:szCs w:val="32"/>
          <w:shd w:val="clear" w:color="auto" w:fill="FFFFFF"/>
          <w:lang w:val="en-US" w:eastAsia="zh-CN" w:bidi="ar-SA"/>
        </w:rPr>
        <w:t>。</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七、名词解释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1．机关运行经费：</w:t>
      </w:r>
      <w:r>
        <w:rPr>
          <w:rFonts w:hint="eastAsia" w:ascii="仿宋_GB2312" w:hAnsi="仿宋_GB2312" w:eastAsia="仿宋_GB2312" w:cs="仿宋_GB2312"/>
          <w:color w:val="000000"/>
          <w:kern w:val="2"/>
          <w:sz w:val="32"/>
          <w:szCs w:val="32"/>
          <w:shd w:val="clear" w:color="auto" w:fill="FFFFFF"/>
          <w:lang w:val="en-US" w:eastAsia="zh-CN" w:bidi="ar-SA"/>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2．“三公”经费：</w:t>
      </w:r>
      <w:r>
        <w:rPr>
          <w:rFonts w:hint="eastAsia" w:ascii="仿宋_GB2312" w:hAnsi="仿宋_GB2312" w:eastAsia="仿宋_GB2312" w:cs="仿宋_GB2312"/>
          <w:color w:val="000000"/>
          <w:kern w:val="2"/>
          <w:sz w:val="32"/>
          <w:szCs w:val="32"/>
          <w:shd w:val="clear" w:color="auto" w:fill="FFFFFF"/>
          <w:lang w:val="en-US" w:eastAsia="zh-CN" w:bidi="ar-SA"/>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bookmarkStart w:id="5" w:name="_GoBack"/>
      <w:bookmarkEnd w:id="5"/>
      <w:r>
        <w:rPr>
          <w:rFonts w:hint="eastAsia" w:ascii="方正小标宋简体" w:hAnsi="Times New Roman" w:eastAsia="方正小标宋简体" w:cs="Times New Roman"/>
          <w:b/>
          <w:bCs/>
          <w:kern w:val="0"/>
          <w:sz w:val="36"/>
          <w:szCs w:val="36"/>
        </w:rPr>
        <w:t>第二部分  2024年部门预算公开表格</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附件：岳阳市君山区行政审批服务局2024年部门预算公开表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1038EA"/>
    <w:multiLevelType w:val="singleLevel"/>
    <w:tmpl w:val="511038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zkxYTllNGUzYWMwZmMyNjFiNTViYzNiYzdlYTAifQ=="/>
  </w:docVars>
  <w:rsids>
    <w:rsidRoot w:val="637274E6"/>
    <w:rsid w:val="00375B29"/>
    <w:rsid w:val="07722D87"/>
    <w:rsid w:val="0992531D"/>
    <w:rsid w:val="0A0D382D"/>
    <w:rsid w:val="0D8D68F1"/>
    <w:rsid w:val="0E4B58DB"/>
    <w:rsid w:val="0ED939EE"/>
    <w:rsid w:val="0F1663CA"/>
    <w:rsid w:val="107D69E0"/>
    <w:rsid w:val="13385187"/>
    <w:rsid w:val="15D00DE7"/>
    <w:rsid w:val="167C1082"/>
    <w:rsid w:val="16B94831"/>
    <w:rsid w:val="1B156429"/>
    <w:rsid w:val="1C744CBF"/>
    <w:rsid w:val="200307FA"/>
    <w:rsid w:val="20A420AE"/>
    <w:rsid w:val="213E1D14"/>
    <w:rsid w:val="22CB72A5"/>
    <w:rsid w:val="230C7214"/>
    <w:rsid w:val="264178B0"/>
    <w:rsid w:val="29EC6874"/>
    <w:rsid w:val="2BF01473"/>
    <w:rsid w:val="2D6329A9"/>
    <w:rsid w:val="2EF502C5"/>
    <w:rsid w:val="305B1762"/>
    <w:rsid w:val="305B3D34"/>
    <w:rsid w:val="305C2E10"/>
    <w:rsid w:val="324A2389"/>
    <w:rsid w:val="328F1D91"/>
    <w:rsid w:val="32982A78"/>
    <w:rsid w:val="32C66482"/>
    <w:rsid w:val="35683252"/>
    <w:rsid w:val="35D63F1B"/>
    <w:rsid w:val="361C522A"/>
    <w:rsid w:val="36BE748E"/>
    <w:rsid w:val="372419C7"/>
    <w:rsid w:val="38C2711D"/>
    <w:rsid w:val="3951638D"/>
    <w:rsid w:val="3A242018"/>
    <w:rsid w:val="3BDE696C"/>
    <w:rsid w:val="3F116709"/>
    <w:rsid w:val="3F150D8C"/>
    <w:rsid w:val="403F2E01"/>
    <w:rsid w:val="44C24001"/>
    <w:rsid w:val="4555609A"/>
    <w:rsid w:val="47E411CF"/>
    <w:rsid w:val="490966A2"/>
    <w:rsid w:val="49B605D8"/>
    <w:rsid w:val="4AD36F68"/>
    <w:rsid w:val="4ADD73C0"/>
    <w:rsid w:val="4BC03402"/>
    <w:rsid w:val="4DBF1A26"/>
    <w:rsid w:val="4ED91DC5"/>
    <w:rsid w:val="4EE728E7"/>
    <w:rsid w:val="51066F16"/>
    <w:rsid w:val="51B004D2"/>
    <w:rsid w:val="52241F08"/>
    <w:rsid w:val="54244912"/>
    <w:rsid w:val="561566E7"/>
    <w:rsid w:val="56301712"/>
    <w:rsid w:val="574216FD"/>
    <w:rsid w:val="576A0C54"/>
    <w:rsid w:val="58A12453"/>
    <w:rsid w:val="5A380B96"/>
    <w:rsid w:val="5D647EF4"/>
    <w:rsid w:val="5DE306BB"/>
    <w:rsid w:val="5F3F29C6"/>
    <w:rsid w:val="5FCE1710"/>
    <w:rsid w:val="607D769F"/>
    <w:rsid w:val="637274E6"/>
    <w:rsid w:val="63894210"/>
    <w:rsid w:val="64C7681D"/>
    <w:rsid w:val="662F72F1"/>
    <w:rsid w:val="66B263EF"/>
    <w:rsid w:val="6B49147A"/>
    <w:rsid w:val="6C0749A4"/>
    <w:rsid w:val="6C5E2742"/>
    <w:rsid w:val="6CB542C8"/>
    <w:rsid w:val="6CC62031"/>
    <w:rsid w:val="70AE175A"/>
    <w:rsid w:val="721F6E5B"/>
    <w:rsid w:val="72860C2E"/>
    <w:rsid w:val="728C4B01"/>
    <w:rsid w:val="729A1F96"/>
    <w:rsid w:val="739C7F8F"/>
    <w:rsid w:val="73BE1EBD"/>
    <w:rsid w:val="78CC0C1A"/>
    <w:rsid w:val="791A5BDE"/>
    <w:rsid w:val="7AFB04E9"/>
    <w:rsid w:val="7C9338B5"/>
    <w:rsid w:val="7EBE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Book1.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收入预算图</a:t>
            </a:r>
          </a:p>
        </c:rich>
      </c:tx>
      <c:layout/>
      <c:overlay val="0"/>
    </c:title>
    <c:autoTitleDeleted val="0"/>
    <c:plotArea>
      <c:layout/>
      <c:pieChart>
        <c:varyColors val="1"/>
        <c:ser>
          <c:idx val="0"/>
          <c:order val="0"/>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[Book1.xlsx]Sheet1!$A$6</c:f>
              <c:strCache>
                <c:ptCount val="1"/>
                <c:pt idx="0">
                  <c:v>一般公共预算拨款收入</c:v>
                </c:pt>
              </c:strCache>
            </c:strRef>
          </c:cat>
          <c:val>
            <c:numRef>
              <c:f>[Book1.xlsx]Sheet1!$A$7</c:f>
              <c:numCache>
                <c:formatCode>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00737532808399"/>
          <c:y val="0.0547878390201225"/>
          <c:w val="0.236068022747157"/>
          <c:h val="0.30709098862642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支出预算图</a:t>
            </a:r>
          </a:p>
        </c:rich>
      </c:tx>
      <c:layout/>
      <c:overlay val="0"/>
      <c:spPr>
        <a:noFill/>
        <a:ln>
          <a:noFill/>
        </a:ln>
        <a:effectLst/>
      </c:spPr>
    </c:title>
    <c:autoTitleDeleted val="0"/>
    <c:plotArea>
      <c:layout/>
      <c:pieChart>
        <c:varyColors val="1"/>
        <c:ser>
          <c:idx val="0"/>
          <c:order val="0"/>
          <c:tx>
            <c:strRef>
              <c:f>Sheet1!$B$1</c:f>
              <c:strCache>
                <c:ptCount val="1"/>
                <c:pt idx="0">
                  <c:v>支出预算图</c:v>
                </c:pt>
              </c:strCache>
            </c:strRef>
          </c:tx>
          <c:spPr/>
          <c:explosion val="0"/>
          <c:dPt>
            <c:idx val="0"/>
            <c:bubble3D val="0"/>
            <c:explosion val="0"/>
            <c:spPr>
              <a:solidFill>
                <a:srgbClr val="333399">
                  <a:lumMod val="40000"/>
                  <a:lumOff val="60000"/>
                </a:srgbClr>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0188343535701481"/>
                  <c:y val="0.10703217129484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951117480385517"/>
                  <c:y val="0.21647680674480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682356212175266"/>
                  <c:y val="0.10853165368563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forceAA="0"/>
              <a:lstStyle/>
              <a:p>
                <a:pPr>
                  <a:defRPr lang="zh-CN" sz="1000" b="1" i="0" u="none" strike="noStrike" kern="1200" baseline="0">
                    <a:solidFill>
                      <a:schemeClr val="bg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0.00%</c:formatCode>
                <c:ptCount val="4"/>
                <c:pt idx="0">
                  <c:v>0.96</c:v>
                </c:pt>
                <c:pt idx="1">
                  <c:v>0.0192</c:v>
                </c:pt>
                <c:pt idx="2">
                  <c:v>0.0077</c:v>
                </c:pt>
                <c:pt idx="3">
                  <c:v>0.0131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754">
    <a:dk1>
      <a:srgbClr val="000000"/>
    </a:dk1>
    <a:lt1>
      <a:srgbClr val="FFFFFF"/>
    </a:lt1>
    <a:dk2>
      <a:srgbClr val="0C0E1F"/>
    </a:dk2>
    <a:lt2>
      <a:srgbClr val="FEFFFF"/>
    </a:lt2>
    <a:accent1>
      <a:srgbClr val="04CD9E"/>
    </a:accent1>
    <a:accent2>
      <a:srgbClr val="80E214"/>
    </a:accent2>
    <a:accent3>
      <a:srgbClr val="119FBE"/>
    </a:accent3>
    <a:accent4>
      <a:srgbClr val="EBC279"/>
    </a:accent4>
    <a:accent5>
      <a:srgbClr val="F95F5F"/>
    </a:accent5>
    <a:accent6>
      <a:srgbClr val="A15C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3956</Words>
  <Characters>4247</Characters>
  <Lines>0</Lines>
  <Paragraphs>0</Paragraphs>
  <TotalTime>5</TotalTime>
  <ScaleCrop>false</ScaleCrop>
  <LinksUpToDate>false</LinksUpToDate>
  <CharactersWithSpaces>4253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Administrator</cp:lastModifiedBy>
  <dcterms:modified xsi:type="dcterms:W3CDTF">2024-06-22T14:30:23Z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162E544386AE4D92BF8D6E0D87531EEF_13</vt:lpwstr>
  </property>
</Properties>
</file>