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lang w:val="en-US" w:eastAsia="zh-CN"/>
        </w:rPr>
        <w:t>岳阳市君山区社会治理网格化服务中心</w:t>
      </w:r>
      <w:r>
        <w:rPr>
          <w:rFonts w:hint="eastAsia" w:ascii="方正小标宋简体" w:hAnsi="方正小标宋简体" w:eastAsia="方正小标宋简体" w:cs="方正小标宋简体"/>
          <w:b/>
          <w:bCs/>
          <w:sz w:val="44"/>
          <w:szCs w:val="44"/>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pStyle w:val="5"/>
        <w:shd w:val="clear" w:color="auto" w:fill="FFFFFF"/>
        <w:spacing w:before="0" w:beforeAutospacing="0" w:after="0" w:afterAutospacing="0" w:line="600" w:lineRule="exact"/>
        <w:ind w:firstLine="482"/>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1、贯彻落实中央、省、市关于创新社会治理的方针政策和法律法规；拟定全区社会治理和服务创新工作规划、计划，并组织实施。</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2、研究分析全区社会治理工作形势，创新社会治理方式，拟定全区创新社会治理的发展战略、发展规划，全面推进公共服务、网格管理、居民自治和综治信息化建设。</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3、依托综治信息系统，逐步建立完善统一的服务管理平台，对全区居民有关社会治安、矛盾纠纷、社会服务等方面的求助、投诉联动受理、处理、督办、反馈。</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4、负责综治中心信息化系统的管理和维护，会同有关部门整合信息资源，对接部门数据和平台，推进君山区综治中心信息平台与各部门间信息互通共享。</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5、会同有关部门推进网上办理公共服务事项，深化“一站式”服务模式。</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6、负责建立、完善考核机制，对镇（街道）场、相关区直部门开展社区治理和服务创新工作进行考核。</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7、组织领导全区网格化服务管理工作，制定网格员主要职责和工作要求标准，指导镇（街道）场、村（社区）抓好网格员日常管理，对下达给网格员的任务指令进行督办、考核。</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8、牵头组织或会同镇（街道）场和协调相关区直部门对网格员、驻村（社区）辅警开展业务培训和思想教育。</w:t>
      </w:r>
    </w:p>
    <w:p>
      <w:pPr>
        <w:widowControl/>
        <w:shd w:val="clear" w:color="auto" w:fill="FFFFFF"/>
        <w:spacing w:line="600" w:lineRule="exact"/>
        <w:ind w:firstLine="482"/>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9、完成区委、区政府交办的其他事项。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岳阳市君山区社会治理网格化服务中心设3个内设机构：综合办公室（业务培训室)、指挥调度室、督查考评室。单位共有编制4个，全部为全额拨款事业编。2024年实有在编在岗人员4</w:t>
      </w:r>
      <w:bookmarkStart w:id="5" w:name="_GoBack"/>
      <w:bookmarkEnd w:id="5"/>
      <w:r>
        <w:rPr>
          <w:rFonts w:hint="eastAsia" w:ascii="仿宋_GB2312" w:hAnsi="仿宋_GB2312" w:eastAsia="仿宋_GB2312" w:cs="仿宋_GB2312"/>
          <w:color w:val="auto"/>
          <w:kern w:val="2"/>
          <w:sz w:val="32"/>
          <w:szCs w:val="32"/>
          <w:highlight w:val="none"/>
          <w:shd w:val="clear" w:color="auto" w:fill="FFFFFF"/>
          <w:lang w:val="en-US" w:eastAsia="zh-CN" w:bidi="ar-SA"/>
        </w:rPr>
        <w:t xml:space="preserve">人。    </w:t>
      </w: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auto"/>
          <w:spacing w:val="0"/>
          <w:sz w:val="28"/>
          <w:szCs w:val="28"/>
          <w:highlight w:val="none"/>
          <w:shd w:val="clear" w:fill="FFFFFF"/>
        </w:rPr>
      </w:pPr>
      <w:bookmarkStart w:id="0" w:name="DEPT_COMPOSE"/>
      <w:r>
        <w:rPr>
          <w:rFonts w:hint="eastAsia" w:ascii="仿宋_GB2312" w:hAnsi="仿宋_GB2312" w:eastAsia="仿宋_GB2312" w:cs="仿宋_GB2312"/>
          <w:color w:val="auto"/>
          <w:kern w:val="2"/>
          <w:sz w:val="32"/>
          <w:szCs w:val="32"/>
          <w:highlight w:val="none"/>
          <w:shd w:val="clear" w:color="auto" w:fill="FFFFFF"/>
          <w:lang w:val="en-US" w:eastAsia="zh-CN" w:bidi="ar-SA"/>
        </w:rPr>
        <w:t>岳阳市君山区社会治理网格化服务中心部门只有本级，没有其他二级预算单位，因此，纳入2024年部门预算编制范围的只有岳阳市君山区社会治理网格化服务中心本级。</w:t>
      </w:r>
      <w:bookmarkEnd w:id="0"/>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收入预算：</w:t>
      </w:r>
      <w:r>
        <w:rPr>
          <w:rFonts w:hint="eastAsia" w:ascii="仿宋_GB2312" w:hAnsi="仿宋_GB2312" w:eastAsia="仿宋_GB2312" w:cs="仿宋_GB2312"/>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包括一般公共预算、政府性基金、国有资本经营预算等财政拨款收入，以及经营收入、事业收入等单位资金。2024年本部门收入预算120.54万元，其中，一般公共预算拨款120.54万元，政府性基金预算资金0.00万元(所以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15-17表为空)，国有资本经营预算资金0.00万元(所以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18表为空)，财政专户管理资金0.00万元(所以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19表为空</w:t>
      </w:r>
      <w:r>
        <w:rPr>
          <w:rFonts w:hint="eastAsia" w:ascii="仿宋_GB2312" w:hAnsi="仿宋_GB2312" w:eastAsia="仿宋_GB2312" w:cs="仿宋_GB2312"/>
          <w:color w:val="000000"/>
          <w:kern w:val="2"/>
          <w:sz w:val="32"/>
          <w:szCs w:val="32"/>
          <w:shd w:val="clear" w:color="auto" w:fill="FFFFFF"/>
          <w:lang w:val="en-US" w:eastAsia="zh-CN" w:bidi="ar-SA"/>
        </w:rPr>
        <w:t>)，上级补助收入资金0.00万元，事业单位经营收入资金0.00万元，上年结转结余0.00万元。收入较上年减少2.42万元，下降1.97%。主要原因是单位控制日常工作经费支出，从而导致项目经费减少。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leftChars="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120.54万元，其中：科学技术支出50万元，社会保障和就业支出5.55万元，城乡社区支出60.67万元，卫生健康支出0.24万元，住房保障支出4.08万元。支出较上年减少2.42万元，下降1.97%。主要原因是单位控制日常工作经费支出，从而导致项目经费减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5895975" cy="3020060"/>
            <wp:effectExtent l="4445" t="5080" r="5080" b="22860"/>
            <wp:docPr id="2" name="图表 1" descr="7b0a202020202263686172745265734964223a2022323034373039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120.54万元，其中：科学技术支出50万元，占41.48%；社会保障和就业支出5.55万元，占4.61%；卫生健康支出0.24万元，占0.2%；城乡社区支出60.67万元，占50.33%；住房保障支出4.08万元，占3.38%。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2024年本部门基本支出预算数50.78万元，主要是为保障部门正常运转、完成日常工作任务而发生的各项支出，包括用于基本工资、津贴补贴等人员经费以及办公费、印刷费、水电费、办公设备购置等公用经费。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2024年本部门项目支出预算69.76万元，主要是本部门为完成特定工作任务或事业发展目标而发生的支出，</w:t>
      </w:r>
      <w:r>
        <w:rPr>
          <w:rFonts w:eastAsia="仿宋_GB2312"/>
          <w:sz w:val="32"/>
          <w:szCs w:val="32"/>
        </w:rPr>
        <w:t>包括</w:t>
      </w:r>
      <w:r>
        <w:rPr>
          <w:rFonts w:hint="eastAsia" w:eastAsia="仿宋_GB2312"/>
          <w:sz w:val="32"/>
          <w:szCs w:val="32"/>
        </w:rPr>
        <w:t>业务工作经费支出、</w:t>
      </w:r>
      <w:r>
        <w:rPr>
          <w:rFonts w:hint="eastAsia" w:eastAsia="仿宋_GB2312"/>
          <w:sz w:val="32"/>
          <w:szCs w:val="32"/>
          <w:lang w:eastAsia="zh-CN"/>
        </w:rPr>
        <w:t>移动网络平台项目</w:t>
      </w:r>
      <w:r>
        <w:rPr>
          <w:rFonts w:eastAsia="仿宋_GB2312"/>
          <w:sz w:val="32"/>
          <w:szCs w:val="32"/>
        </w:rPr>
        <w:t>等</w:t>
      </w:r>
      <w:r>
        <w:rPr>
          <w:rFonts w:hint="eastAsia" w:eastAsia="仿宋_GB2312"/>
          <w:sz w:val="32"/>
          <w:szCs w:val="32"/>
        </w:rPr>
        <w:t>，其中：城乡社区支出</w:t>
      </w:r>
      <w:r>
        <w:rPr>
          <w:rFonts w:hint="eastAsia" w:eastAsia="仿宋_GB2312"/>
          <w:sz w:val="32"/>
          <w:szCs w:val="32"/>
          <w:lang w:val="en-US" w:eastAsia="zh-CN"/>
        </w:rPr>
        <w:t>19.76</w:t>
      </w:r>
      <w:r>
        <w:rPr>
          <w:rFonts w:hint="eastAsia" w:eastAsia="仿宋_GB2312"/>
          <w:sz w:val="32"/>
          <w:szCs w:val="32"/>
        </w:rPr>
        <w:t>万元，主要用于网络维护建设及日常工作经费等方面； 科学技术支出50万元，主要用于网格信息服务平台等方面</w:t>
      </w:r>
      <w:r>
        <w:rPr>
          <w:rFonts w:hint="eastAsia" w:eastAsia="仿宋_GB2312"/>
          <w:sz w:val="32"/>
          <w:szCs w:val="32"/>
          <w:lang w:val="en-US" w:eastAsia="zh-CN"/>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2024年岳阳市君山区社会治理网格化服务中心部门机关运行经费4.8万元，比上年预算下降18%。主要原因是厉行节约，压缩了公用经费预算支出，造成公用经费预算减少。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0.45万元，其中，公务接待费0.45万元，公务用车购置及运行费0万元（其中，公务用车购置费0万元，公务用车运行费0万元），因公出国（境）费0万元。2024年“三公”经费预算较2023年减少0.03万元，主要原因是严格落实中央“八项规定”精神和“过紧日子”的要求，从严控制“三公”经费支出。</w:t>
      </w:r>
      <w:bookmarkStart w:id="1" w:name="DIS_MARK_IS_ZERO_06_2"/>
      <w:bookmarkEnd w:id="1"/>
      <w:bookmarkStart w:id="2" w:name="END_IS_ZERO_06_2"/>
      <w:bookmarkEnd w:id="2"/>
      <w:bookmarkStart w:id="3" w:name="END_IS_ZERO_06_1"/>
      <w:bookmarkEnd w:id="3"/>
      <w:bookmarkStart w:id="4" w:name="START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2024年本部门会议费预算0万元，拟召开0次会议，人数0人；培训费预算0万元，拟开展0次培训，人数0人；2024年度本部门未计划举办节庆、晚会、论坛、赛事活动。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2024年本部门政府采购预算总额2.5万元，其中，货物类采购预算2.5万元；工程类采购预算0万元；服务类采购预算0万元。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highlight w:val="none"/>
          <w:shd w:val="clear" w:color="auto" w:fill="FFFFFF"/>
          <w:lang w:val="en-US" w:eastAsia="zh-CN" w:bidi="ar-SA"/>
        </w:rPr>
        <w:t>本部门所有支出实行绩效目标管理。纳入2024年部门整体支出绩效目标的金额为120.54万元，其中，基本支出50.78万元，项目支出69.76万元，具体绩效目标详见文尾附表中部门预算公开表21-22表</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附件：岳阳市君山区社会治理网格化服务中心2024年部门预算公开表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637274E6"/>
    <w:rsid w:val="0077199E"/>
    <w:rsid w:val="05EC20A2"/>
    <w:rsid w:val="0992531D"/>
    <w:rsid w:val="0A0D382D"/>
    <w:rsid w:val="0D8D68F1"/>
    <w:rsid w:val="0D9050E5"/>
    <w:rsid w:val="0E4B58DB"/>
    <w:rsid w:val="0ED939EE"/>
    <w:rsid w:val="0F1663CA"/>
    <w:rsid w:val="13385187"/>
    <w:rsid w:val="167C1082"/>
    <w:rsid w:val="16B94831"/>
    <w:rsid w:val="17C903B9"/>
    <w:rsid w:val="1A265C82"/>
    <w:rsid w:val="1B156429"/>
    <w:rsid w:val="1C313F48"/>
    <w:rsid w:val="1C744CBF"/>
    <w:rsid w:val="200307FA"/>
    <w:rsid w:val="20A420AE"/>
    <w:rsid w:val="213E1D14"/>
    <w:rsid w:val="22CB72A5"/>
    <w:rsid w:val="230C7214"/>
    <w:rsid w:val="264178B0"/>
    <w:rsid w:val="27230718"/>
    <w:rsid w:val="29EC6874"/>
    <w:rsid w:val="2BF01473"/>
    <w:rsid w:val="2D6329A9"/>
    <w:rsid w:val="2EF502C5"/>
    <w:rsid w:val="305B1762"/>
    <w:rsid w:val="305B3D34"/>
    <w:rsid w:val="305C2E10"/>
    <w:rsid w:val="324A2389"/>
    <w:rsid w:val="328F1D91"/>
    <w:rsid w:val="32982A78"/>
    <w:rsid w:val="32C66482"/>
    <w:rsid w:val="35683252"/>
    <w:rsid w:val="35D63F1B"/>
    <w:rsid w:val="361C522A"/>
    <w:rsid w:val="36BE748E"/>
    <w:rsid w:val="372419C7"/>
    <w:rsid w:val="38C2711D"/>
    <w:rsid w:val="3951638D"/>
    <w:rsid w:val="3A242018"/>
    <w:rsid w:val="3BDE696C"/>
    <w:rsid w:val="3F116709"/>
    <w:rsid w:val="3F150D8C"/>
    <w:rsid w:val="403F2E01"/>
    <w:rsid w:val="44C24001"/>
    <w:rsid w:val="4555609A"/>
    <w:rsid w:val="466F406E"/>
    <w:rsid w:val="47E411CF"/>
    <w:rsid w:val="490966A2"/>
    <w:rsid w:val="49B605D8"/>
    <w:rsid w:val="4AD36F68"/>
    <w:rsid w:val="4ADD73C0"/>
    <w:rsid w:val="4BC03402"/>
    <w:rsid w:val="4DBF1A26"/>
    <w:rsid w:val="4EE728E7"/>
    <w:rsid w:val="51066F16"/>
    <w:rsid w:val="513B1E91"/>
    <w:rsid w:val="51B004D2"/>
    <w:rsid w:val="52241F08"/>
    <w:rsid w:val="54244912"/>
    <w:rsid w:val="56301712"/>
    <w:rsid w:val="574216FD"/>
    <w:rsid w:val="576A0C54"/>
    <w:rsid w:val="58A12453"/>
    <w:rsid w:val="5A380B96"/>
    <w:rsid w:val="5C5A0362"/>
    <w:rsid w:val="5D647EF4"/>
    <w:rsid w:val="5DE306BB"/>
    <w:rsid w:val="5F3F29C6"/>
    <w:rsid w:val="60A84DF9"/>
    <w:rsid w:val="637274E6"/>
    <w:rsid w:val="63894210"/>
    <w:rsid w:val="64C7681D"/>
    <w:rsid w:val="662F72F1"/>
    <w:rsid w:val="66B263EF"/>
    <w:rsid w:val="6B49147A"/>
    <w:rsid w:val="6C0749A4"/>
    <w:rsid w:val="6C5E2742"/>
    <w:rsid w:val="6CB542C8"/>
    <w:rsid w:val="6CC62031"/>
    <w:rsid w:val="70AE175A"/>
    <w:rsid w:val="721F6E5B"/>
    <w:rsid w:val="72860C2E"/>
    <w:rsid w:val="728C4B01"/>
    <w:rsid w:val="729A1F96"/>
    <w:rsid w:val="739C7F8F"/>
    <w:rsid w:val="73BE1EBD"/>
    <w:rsid w:val="78CC0C1A"/>
    <w:rsid w:val="791A5BDE"/>
    <w:rsid w:val="7AFB04E9"/>
    <w:rsid w:val="7C9338B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Sheet1!#REF!</c:f>
              <c:strCache>
                <c:ptCount val="1"/>
                <c:pt idx="0">
                  <c:v/>
                </c:pt>
              </c:strCache>
            </c:strRef>
          </c:tx>
          <c:spPr/>
          <c:explosion val="0"/>
          <c:dPt>
            <c:idx val="0"/>
            <c:bubble3D val="0"/>
            <c:explosion val="0"/>
            <c:spPr>
              <a:solidFill>
                <a:srgbClr val="2D2D89">
                  <a:lumMod val="40000"/>
                  <a:lumOff val="60000"/>
                </a:srgb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a:outerShdw blurRad="63500" sx="102000" sy="102000" algn="ctr" rotWithShape="0">
                  <a:prstClr val="black">
                    <a:alpha val="30000"/>
                  </a:prstClr>
                </a:outerShdw>
              </a:effectLst>
            </c:spPr>
          </c:dPt>
          <c:dLbls>
            <c:dLbl>
              <c:idx val="1"/>
              <c:layout>
                <c:manualLayout>
                  <c:x val="-0.0315536925358895"/>
                  <c:y val="-0.1164569427889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0642917446135"/>
                  <c:y val="-0.04394654155538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368470316507398"/>
                  <c:y val="0.10436231436555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63232673357051"/>
                  <c:y val="0.1785155031230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科学技术支出</c:v>
                </c:pt>
                <c:pt idx="1">
                  <c:v>社会保障和就业支出</c:v>
                </c:pt>
                <c:pt idx="2">
                  <c:v>城乡社区支出</c:v>
                </c:pt>
                <c:pt idx="3">
                  <c:v>卫生健康支出</c:v>
                </c:pt>
                <c:pt idx="4">
                  <c:v>住房保障支出</c:v>
                </c:pt>
              </c:strCache>
            </c:strRef>
          </c:cat>
          <c:val>
            <c:numRef>
              <c:f>Sheet1!$B$2:$B$6</c:f>
              <c:numCache>
                <c:formatCode>0.00%</c:formatCode>
                <c:ptCount val="5"/>
                <c:pt idx="0">
                  <c:v>0.4148</c:v>
                </c:pt>
                <c:pt idx="1">
                  <c:v>0.0461</c:v>
                </c:pt>
                <c:pt idx="2">
                  <c:v>0.5033</c:v>
                </c:pt>
                <c:pt idx="3">
                  <c:v>0.002</c:v>
                </c:pt>
                <c:pt idx="4">
                  <c:v>0.0338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53473344103393"/>
          <c:y val="0.890454163162321"/>
          <c:w val="0.772213247172859"/>
          <c:h val="0.0975609756097561"/>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754">
    <a:dk1>
      <a:srgbClr val="000000"/>
    </a:dk1>
    <a:lt1>
      <a:srgbClr val="FFFFFF"/>
    </a:lt1>
    <a:dk2>
      <a:srgbClr val="0C0E1F"/>
    </a:dk2>
    <a:lt2>
      <a:srgbClr val="FEFFFF"/>
    </a:lt2>
    <a:accent1>
      <a:srgbClr val="04CD9E"/>
    </a:accent1>
    <a:accent2>
      <a:srgbClr val="80E214"/>
    </a:accent2>
    <a:accent3>
      <a:srgbClr val="119FBE"/>
    </a:accent3>
    <a:accent4>
      <a:srgbClr val="EBC279"/>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3781</Words>
  <Characters>4051</Characters>
  <Lines>0</Lines>
  <Paragraphs>0</Paragraphs>
  <TotalTime>4</TotalTime>
  <ScaleCrop>false</ScaleCrop>
  <LinksUpToDate>false</LinksUpToDate>
  <CharactersWithSpaces>4062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默默有为</cp:lastModifiedBy>
  <dcterms:modified xsi:type="dcterms:W3CDTF">2024-06-24T01:09:56Z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162E544386AE4D92BF8D6E0D87531EEF_13</vt:lpwstr>
  </property>
</Properties>
</file>