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君山区钱粮湖镇人民政府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中共君山区钱粮湖镇党委、君山区钱粮湖镇人民政府的级别为正科级。镇党委、政府主要承担宣传贯彻执行党和国家的路线、方针、政策、法律、法规和上级党委、政府的决定、命令、指示，执行本级党代会和人民代表大会的决定、决议，促进经济发展、增加农民收入，强化公共服务、着力改善民生，加强社会管理、维护农村稳定，推进基层民主、促进农村和谐的重大任务。镇党委是党在农村的基层组织，是党在农村全部工作和战斗力的基础，是镇级各种组织和各项工作的领导核心；镇政府是国家基层政权组织，领导本行政区内政府工作。主要职责是：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加强党的建设。加强党的全面领导，落实基层党建工作责任制，全面推进党的政治建设、思想建设、组织建设、作风建设、纪律建设。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加强经济建设。编制经济发展规划;优化经济发展环境，提供示范引导和政策服务;加强农垦资产管理，激活农垦经济活力，释放农垦生产力。加强农村经济与土地管理和农村经济审计、统计工作;指导经济结构调整和推进经济增长方式转变;因地制宜组织发展区域特色经济，促进农民增收;大力发展非公有制经济，推进农村市场经济体系建设，着力提升经济发展的质量和水平，不断提高人民生活水平。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加强社会管理。编制社会发展规划；负责区域内的教育体育、科技、文化、卫生健康、民政、公安、司法、人武、自然资源等管理工作；负责做好安全生产、应急救援、生态保护、市场监管、粮食安全、社会救助、扶贫助残、殡葬管理、流动人员管理等工作；推进乡村振兴战略，着力优化农村人居环境;及时上报和处置重大社情、疫情、险情，保护人民群众的生命和财产安全;加强农村规划建设和财政管理工作；建立防灾减灾等区域性、突发性事件的预防和处置工作机制；负责区域内的社区和经济组织的管理，发挥社团、行业组织和社会中介组织的作用。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提供公共服务。建立健全社会化服务体系；全面推行审批服务“马上办、网上办、就近办、一次办”，不断优化办事创业和营商环境；加强农田水利、乡村道路等农村基础设施建设；大力发展教育、科技、文化、卫生、体育等社会事业；组织引导农村劳动力转移和就业，提供政策、科技、信息、就业培训等服务；加强社会保障服务，做好扶贫、库区移民、最低生活保障、城乡居民养老保险、城乡居民基本医疗保险等工作；依法依规承担上级部门下放的经济社会管理权限和行政执法事项，承接政务服务事项，提供便捷优质服务，确保对承接事项直接受理、独立办理、全权行使、落实到位、服务到位。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维护社会稳定。加强社会治安综合治理，构建公共安全防控体系；依法保护各类经济组织和公民的合法权益；综合协调平安建设工作，构建民间矛盾纠纷调处体系，做好基层信访调解工作，化解社会矛盾，维护社会秩序；抓好法制宣传和普法教育，增强公民法制意识；加强对违法青少年的帮教转化工作;保护老年人、妇女、儿童和残疾人的合法权益。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监督执法管理。对辖区内各类行政执法工作进行统筹协调，组织开展群众监督和社会监督。</w:t>
      </w:r>
    </w:p>
    <w:p>
      <w:pPr>
        <w:widowControl/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加强基层组织管理。加强基层领导班子、干部队伍和党员队伍建设；加强和改进对基层党组织的领导，指导和帮助村民委员会、社区居民委员会依法自治，促进村民(社区居民)委员会的组织建设和制度建设；充分发挥工会、共青团、妇联、文联等群众团体的桥梁纽带作用；团结动员各类单位、社会组织、广大群众参与社会治理，为村（居）、镇发展服务。</w:t>
      </w:r>
    </w:p>
    <w:p>
      <w:pPr>
        <w:widowControl/>
        <w:spacing w:line="600" w:lineRule="exact"/>
        <w:ind w:firstLine="640" w:firstLineChars="200"/>
        <w:jc w:val="left"/>
        <w:rPr>
          <w:rFonts w:eastAsia="楷体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承办区委、区政府及其工作部门交办的其他事项。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pStyle w:val="10"/>
        <w:spacing w:line="600" w:lineRule="exact"/>
        <w:ind w:firstLine="800" w:firstLineChars="25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" w:hAnsi="仿宋" w:eastAsia="仿宋"/>
          <w:color w:val="333333"/>
          <w:kern w:val="0"/>
          <w:sz w:val="32"/>
          <w:szCs w:val="32"/>
          <w:lang w:eastAsia="zh-CN"/>
        </w:rPr>
        <w:t>君山区钱粮湖镇人民政府</w:t>
      </w:r>
      <w:r>
        <w:rPr>
          <w:rFonts w:hint="eastAsia" w:ascii="仿宋" w:hAnsi="仿宋" w:eastAsia="仿宋"/>
          <w:color w:val="333333"/>
          <w:kern w:val="0"/>
          <w:sz w:val="32"/>
          <w:szCs w:val="32"/>
          <w:lang w:val="en-US" w:eastAsia="zh-CN"/>
        </w:rPr>
        <w:t>内设</w:t>
      </w:r>
      <w:r>
        <w:rPr>
          <w:rFonts w:hint="eastAsia" w:ascii="仿宋" w:hAnsi="仿宋" w:eastAsia="仿宋"/>
          <w:color w:val="333333"/>
          <w:kern w:val="0"/>
          <w:sz w:val="32"/>
          <w:szCs w:val="32"/>
          <w:lang w:eastAsia="zh-CN"/>
        </w:rPr>
        <w:t>职能股室</w:t>
      </w:r>
      <w:r>
        <w:rPr>
          <w:rFonts w:hint="eastAsia" w:ascii="仿宋" w:hAnsi="仿宋" w:eastAsia="仿宋"/>
          <w:color w:val="333333"/>
          <w:kern w:val="0"/>
          <w:sz w:val="32"/>
          <w:szCs w:val="32"/>
          <w:lang w:val="en-US" w:eastAsia="zh-CN"/>
        </w:rPr>
        <w:t>5个、</w:t>
      </w:r>
      <w:r>
        <w:rPr>
          <w:rFonts w:hint="eastAsia" w:ascii="Times New Roman" w:hAnsi="Times New Roman" w:eastAsia="仿宋_GB2312" w:cs="Times New Roman"/>
          <w:sz w:val="32"/>
          <w:szCs w:val="32"/>
          <w:lang w:val="zh-CN"/>
        </w:rPr>
        <w:t>直属事业机构6个。镇内设机构分别是：党政办公室、党建办公室、经济发展办公室、社会事务办公室、社会治安和应急管理办公室。镇直属事业机构分别是：政务服务中心、农业综合服务中心、社会事业综合服务中心、退役军人服务站、环境卫生服务中心、综合行政执法大队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ascii="仿宋" w:hAnsi="仿宋" w:eastAsia="仿宋"/>
          <w:color w:val="333333"/>
          <w:kern w:val="0"/>
          <w:sz w:val="32"/>
          <w:szCs w:val="32"/>
          <w:lang w:eastAsia="zh-CN"/>
        </w:rPr>
        <w:t>君山区钱粮湖镇人民政府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ascii="仿宋" w:hAnsi="仿宋" w:eastAsia="仿宋"/>
          <w:color w:val="333333"/>
          <w:kern w:val="0"/>
          <w:sz w:val="32"/>
          <w:szCs w:val="32"/>
          <w:lang w:eastAsia="zh-CN"/>
        </w:rPr>
        <w:t>君山区钱粮湖镇人民政府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2523.95万元，其中，一般公共预算拨款2523.95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。收入较上年减少434.1万元，下降14.68%。主要原因是按财政的要求，从2024年乡镇预算收入中将村组干部工资切块到组织部，从而导致收入预算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2523.95万元，其中：社会保障和就业支出475.58万元，卫生健康支出61.08万元，一般公共服务支出1145.32万元，节能环保支出200万元，城乡社区支出212.6万元，农林水支出340万元，住房保障支出89.37万元。支出较上年减少434.1万元，下降14.68%。主要原因是按财政的要求，从2024年乡镇预算收入中将村组干部工资切块到组织部，从而导致支出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预算减少。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2024年本部门一般公共预算拨款支出2523.95万元，其中：社会保障和就业支出475.58万元，占18.84%；卫生健康支出61.08万元，占2.42%；一般公共服务支出1145.32万元，占45.38%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节能环保支出200万元，占7.93%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城乡社区支出212.6万元，占8.42%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农林水支出340万元，占13.47%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住房保障支出89.37万元，占3.54%。具体安排情况如下：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2024年本部门基本支出预算数1594.26万元，主要是为保障部门正常运转、完成日常工作任务而发生的各项支出，包括用于基本工资、津贴补贴等人员经费以及办公费、印刷费、水电费、办公设备购置等公用经费。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2024年本部门项目支出预算929.69万元，主要是本部门为完成特定工作任务或事业发展目标而发生的支出，包括业务工作经费、村级运转保障经费等，其中：一般公共服务支出177.09万元，主要用于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弥补乡镇经费不足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；节能环保支出200万元，主要用于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环保方面支出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；城乡社区支出212.6万元，主要用于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拨付社区工作经费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；农林水支出340万元，主要用于促进农村公益事业建设、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村级运营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ascii="仿宋" w:hAnsi="仿宋" w:eastAsia="仿宋"/>
          <w:color w:val="333333"/>
          <w:kern w:val="0"/>
          <w:sz w:val="32"/>
          <w:szCs w:val="32"/>
          <w:lang w:eastAsia="zh-CN"/>
        </w:rPr>
        <w:t>君山区钱粮湖镇人民政府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部门机关运行经费135.4万元，比上年预算下降7.74%。主要原因是厉行节约，压缩了公用经费支出预算。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5万元，其中，公务接待费5万元，公务用车购置及运行费0万元（其中，公务用车购置费0万元，公务用车运行费0万元），因公出国（境）费0万元。2024年“三公”经费预算与上年持平，主要原因是严格落实中央“八项规定”精神和“过紧日子”的要求，从严控制“三公”经费支出。</w:t>
      </w:r>
      <w:bookmarkStart w:id="1" w:name="START_IS_ZERO_06_2"/>
      <w:bookmarkEnd w:id="1"/>
      <w:bookmarkStart w:id="2" w:name="END_IS_ZERO_06_2"/>
      <w:bookmarkEnd w:id="2"/>
      <w:bookmarkStart w:id="3" w:name="END_IS_ZERO_06_1"/>
      <w:bookmarkEnd w:id="3"/>
      <w:bookmarkStart w:id="4" w:name="DIS_MARK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2024年本部门会议费预算5万元，拟召开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次会议，人数300人</w:t>
      </w:r>
      <w:r>
        <w:rPr>
          <w:rFonts w:eastAsia="仿宋_GB2312"/>
          <w:kern w:val="0"/>
          <w:sz w:val="32"/>
          <w:szCs w:val="32"/>
        </w:rPr>
        <w:t>，内容为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人大会、经济工作会、党员培训等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；培训费预算5万元，拟开展4次培训，人数200人</w:t>
      </w:r>
      <w:r>
        <w:rPr>
          <w:rFonts w:eastAsia="仿宋_GB2312"/>
          <w:kern w:val="0"/>
          <w:sz w:val="32"/>
          <w:szCs w:val="32"/>
        </w:rPr>
        <w:t>，内容为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农乡培训、龙虾基数培训等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；2024年度本部门未计划举办节庆、晚会、论坛、赛事活动，经费预算0万元。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2024年本部门政府采购预算总额134.99万元，其中，货物类采购预算124.69万元；工程类采购预算0万元；服务类采购预算10.30万元。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本部门所有支出实行绩效目标管理。纳入2024年部门整体支出绩效目标的金额为2523.95万元，其中，基本支出1594.26万元，项目支出929.69万元，具体绩效目标详见文尾附表中部门预算公开表格的表21-22。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spacing w:line="570" w:lineRule="atLeast"/>
        <w:jc w:val="center"/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附件：君山区钱粮湖镇人民政府2024年部门预算公开表</w:t>
      </w:r>
    </w:p>
    <w:p>
      <w:pPr>
        <w:spacing w:line="570" w:lineRule="atLeast"/>
        <w:jc w:val="center"/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OWIzYzk1MWM3N2I3MjEzZjQ5NzNmYzQ5ZWNlZGYifQ=="/>
  </w:docVars>
  <w:rsids>
    <w:rsidRoot w:val="637274E6"/>
    <w:rsid w:val="00857C69"/>
    <w:rsid w:val="02412BCB"/>
    <w:rsid w:val="02FA7BB8"/>
    <w:rsid w:val="03631DE8"/>
    <w:rsid w:val="05DE428D"/>
    <w:rsid w:val="05ED25F6"/>
    <w:rsid w:val="079242AE"/>
    <w:rsid w:val="085D0C84"/>
    <w:rsid w:val="0992531D"/>
    <w:rsid w:val="0A0D382D"/>
    <w:rsid w:val="0D2835D5"/>
    <w:rsid w:val="0ED939EE"/>
    <w:rsid w:val="127F62FD"/>
    <w:rsid w:val="13385187"/>
    <w:rsid w:val="144178C3"/>
    <w:rsid w:val="15EB7AFB"/>
    <w:rsid w:val="167C1082"/>
    <w:rsid w:val="168E55F8"/>
    <w:rsid w:val="16B94831"/>
    <w:rsid w:val="177E1DA6"/>
    <w:rsid w:val="18844C6D"/>
    <w:rsid w:val="1AA51814"/>
    <w:rsid w:val="1C744CBF"/>
    <w:rsid w:val="1CD25B13"/>
    <w:rsid w:val="1D6E31FC"/>
    <w:rsid w:val="1D85581C"/>
    <w:rsid w:val="1FD800E8"/>
    <w:rsid w:val="200307FA"/>
    <w:rsid w:val="20A420AE"/>
    <w:rsid w:val="22DF4F83"/>
    <w:rsid w:val="230C7214"/>
    <w:rsid w:val="24302B07"/>
    <w:rsid w:val="243D1BD3"/>
    <w:rsid w:val="256B3D61"/>
    <w:rsid w:val="264178B0"/>
    <w:rsid w:val="26962633"/>
    <w:rsid w:val="26E130FE"/>
    <w:rsid w:val="29C372D4"/>
    <w:rsid w:val="29EC6874"/>
    <w:rsid w:val="2A351017"/>
    <w:rsid w:val="2D6329A9"/>
    <w:rsid w:val="2DA53533"/>
    <w:rsid w:val="305B1762"/>
    <w:rsid w:val="305C2E10"/>
    <w:rsid w:val="3085088F"/>
    <w:rsid w:val="31A800DF"/>
    <w:rsid w:val="324A2389"/>
    <w:rsid w:val="32865768"/>
    <w:rsid w:val="328F1D91"/>
    <w:rsid w:val="32C66482"/>
    <w:rsid w:val="34521626"/>
    <w:rsid w:val="35683252"/>
    <w:rsid w:val="36BE748E"/>
    <w:rsid w:val="36CB7059"/>
    <w:rsid w:val="36F16DB2"/>
    <w:rsid w:val="38E3475C"/>
    <w:rsid w:val="3951638D"/>
    <w:rsid w:val="3A242018"/>
    <w:rsid w:val="3EF4633B"/>
    <w:rsid w:val="42EA1E57"/>
    <w:rsid w:val="43666CD0"/>
    <w:rsid w:val="472973EE"/>
    <w:rsid w:val="477C3FDA"/>
    <w:rsid w:val="47E411CF"/>
    <w:rsid w:val="490966A2"/>
    <w:rsid w:val="496F41C2"/>
    <w:rsid w:val="4AD36F68"/>
    <w:rsid w:val="4B5D43D7"/>
    <w:rsid w:val="4BC03402"/>
    <w:rsid w:val="4DBF1A26"/>
    <w:rsid w:val="4EC2028E"/>
    <w:rsid w:val="4EE728E7"/>
    <w:rsid w:val="4FBC7102"/>
    <w:rsid w:val="50447689"/>
    <w:rsid w:val="51B004D2"/>
    <w:rsid w:val="52A91D7A"/>
    <w:rsid w:val="54A70CC5"/>
    <w:rsid w:val="56301712"/>
    <w:rsid w:val="56633AFB"/>
    <w:rsid w:val="5681523A"/>
    <w:rsid w:val="576A0C54"/>
    <w:rsid w:val="5A1535D7"/>
    <w:rsid w:val="5A380B96"/>
    <w:rsid w:val="5D7F32CE"/>
    <w:rsid w:val="5F3F29C6"/>
    <w:rsid w:val="60884CBD"/>
    <w:rsid w:val="60B230E1"/>
    <w:rsid w:val="636D1293"/>
    <w:rsid w:val="637274E6"/>
    <w:rsid w:val="63894210"/>
    <w:rsid w:val="662F72F1"/>
    <w:rsid w:val="66B263EF"/>
    <w:rsid w:val="69175946"/>
    <w:rsid w:val="6B49147A"/>
    <w:rsid w:val="6C0749A4"/>
    <w:rsid w:val="6C1B6290"/>
    <w:rsid w:val="6C5E2742"/>
    <w:rsid w:val="6CB542C8"/>
    <w:rsid w:val="6CC62031"/>
    <w:rsid w:val="6D6A0B30"/>
    <w:rsid w:val="7076663E"/>
    <w:rsid w:val="70AE175A"/>
    <w:rsid w:val="70F92319"/>
    <w:rsid w:val="728C4B01"/>
    <w:rsid w:val="729A1F96"/>
    <w:rsid w:val="739C7F8F"/>
    <w:rsid w:val="73BE1EBD"/>
    <w:rsid w:val="74232EF6"/>
    <w:rsid w:val="748B04A5"/>
    <w:rsid w:val="74D47E83"/>
    <w:rsid w:val="753F0C2D"/>
    <w:rsid w:val="77DE623F"/>
    <w:rsid w:val="78961A7D"/>
    <w:rsid w:val="78CC0C1A"/>
    <w:rsid w:val="791A5BDE"/>
    <w:rsid w:val="7C9338B5"/>
    <w:rsid w:val="7D174260"/>
    <w:rsid w:val="7EBE525E"/>
    <w:rsid w:val="7F505942"/>
    <w:rsid w:val="7F6D60FB"/>
    <w:rsid w:val="7F78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autoRedefine/>
    <w:qFormat/>
    <w:uiPriority w:val="0"/>
    <w:rPr>
      <w:color w:val="0000FF"/>
      <w:u w:val="single"/>
    </w:rPr>
  </w:style>
  <w:style w:type="paragraph" w:customStyle="1" w:styleId="10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0929603536400055"/>
          <c:y val="0.408264917477782"/>
          <c:w val="0.826511949164249"/>
          <c:h val="0.51038510368176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6"/>
            <c:bubble3D val="0"/>
            <c:spPr>
              <a:gradFill>
                <a:gsLst>
                  <a:gs pos="100000">
                    <a:schemeClr val="accent1">
                      <a:lumMod val="60000"/>
                    </a:schemeClr>
                  </a:gs>
                  <a:gs pos="0">
                    <a:schemeClr val="accent1">
                      <a:lumMod val="60000"/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60000"/>
                        <a:lumMod val="75000"/>
                      </a:schemeClr>
                    </a:gs>
                    <a:gs pos="0">
                      <a:schemeClr val="accent1">
                        <a:lumMod val="60000"/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0590539203591337"/>
                  <c:y val="-0.083215141441833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0.00207210940737671"/>
                  <c:y val="-0.0793482860770207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0.0352258599254041"/>
                  <c:y val="-0.0285653829877275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[收入预算图.xlsx]Sheet1!$B$2:$B$8</c:f>
              <c:strCache>
                <c:ptCount val="7"/>
                <c:pt idx="0">
                  <c:v>社会保障和就业支出</c:v>
                </c:pt>
                <c:pt idx="1">
                  <c:v>卫生健康支出</c:v>
                </c:pt>
                <c:pt idx="2">
                  <c:v>一般公共服务支出</c:v>
                </c:pt>
                <c:pt idx="3">
                  <c:v>住房保障支出</c:v>
                </c:pt>
                <c:pt idx="4">
                  <c:v>节能环保支出</c:v>
                </c:pt>
                <c:pt idx="5">
                  <c:v>城乡社区支出</c:v>
                </c:pt>
                <c:pt idx="6">
                  <c:v>农林水支出</c:v>
                </c:pt>
              </c:strCache>
            </c:strRef>
          </c:cat>
          <c:val>
            <c:numRef>
              <c:f>[收入预算图.xlsx]Sheet1!$C$2:$C$8</c:f>
              <c:numCache>
                <c:formatCode>0.00%</c:formatCode>
                <c:ptCount val="7"/>
                <c:pt idx="0">
                  <c:v>0.1884</c:v>
                </c:pt>
                <c:pt idx="1">
                  <c:v>0.0242</c:v>
                </c:pt>
                <c:pt idx="2">
                  <c:v>0.4538</c:v>
                </c:pt>
                <c:pt idx="3">
                  <c:v>0.0354</c:v>
                </c:pt>
                <c:pt idx="4">
                  <c:v>0.0793</c:v>
                </c:pt>
                <c:pt idx="5">
                  <c:v>0.0842</c:v>
                </c:pt>
                <c:pt idx="6">
                  <c:v>0.1347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4817</Words>
  <Characters>5148</Characters>
  <Lines>0</Lines>
  <Paragraphs>0</Paragraphs>
  <TotalTime>1</TotalTime>
  <ScaleCrop>false</ScaleCrop>
  <LinksUpToDate>false</LinksUpToDate>
  <CharactersWithSpaces>5156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Mr.1.689小姐</cp:lastModifiedBy>
  <dcterms:modified xsi:type="dcterms:W3CDTF">2024-06-11T08:31:16Z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F29204BFE4604C58A6FCD93DA87AD3E9_13</vt:lpwstr>
  </property>
</Properties>
</file>