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君山区良心堡镇人民政府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2024年部门预算公开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both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eastAsia="黑体" w:asciiTheme="minorEastAsia" w:hAnsiTheme="minorEastAsia" w:cstheme="minorEastAsia"/>
          <w:sz w:val="28"/>
          <w:szCs w:val="28"/>
          <w:lang w:eastAsia="zh-CN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乡镇政府是基层国家行政机关，行使本行政区的行政职能，良心堡镇政府具体职能为：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1、在镇党委的统一领导下，行使区人民政府赋予的权利，负责辖区的行政管理工作。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2、宣传党的路线、方针、政策和国家的法律、法规，开展多种形式的社会主义精神文明建设活动。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3、依法参与城市建设和管理，依法依规做好拆迁工作。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4、加强社会治安综合治理，维护社会安定团结。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5、积极发展社区服务业，发展多元化街道经济，不断壮大街道经济实体。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6、落实人口计划指标，加强流动人口的计生管理工作，搞好计划生育管理工作。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7、做好社区教育、文化、体育活动的组织、协调工作。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8、做好拥军家属和社会救济等基层社会保障工作，维护老人、妇女、儿童和残疾人的合法权利。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9、协助做好侨台事务、离退休人员管理工作。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10、指导社区居委会和村级组织工作，加强扶贫工作力度，扶持民办经济实体，帮助社区及村级组织解决实际困难。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r>
        <w:rPr>
          <w:rFonts w:hint="eastAsia" w:eastAsia="仿宋_GB2312"/>
          <w:sz w:val="32"/>
          <w:szCs w:val="32"/>
        </w:rPr>
        <w:t>11、完成上级交办的其他工作。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君山区良心堡镇人民政府内设</w:t>
      </w:r>
      <w:r>
        <w:rPr>
          <w:rFonts w:hint="eastAsia" w:eastAsia="仿宋_GB2312"/>
          <w:sz w:val="32"/>
          <w:szCs w:val="32"/>
        </w:rPr>
        <w:t>机构 4个，所属事业站所 5个。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内设机构分别是：党政综合办公室、经济发展办公室、民政和社会事务办公室、人口与计划生育办公室。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所属事业站所分别是：卫计所、社会保障服务站、城建环卫站、农业技术推广综合服务中心、动物防疫站。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eastAsia="楷体_GB2312"/>
          <w:b/>
          <w:sz w:val="32"/>
          <w:szCs w:val="32"/>
          <w:highlight w:val="none"/>
        </w:rPr>
      </w:pPr>
      <w:r>
        <w:rPr>
          <w:rFonts w:hint="eastAsia" w:eastAsia="仿宋_GB2312"/>
          <w:sz w:val="32"/>
          <w:szCs w:val="32"/>
          <w:highlight w:val="none"/>
        </w:rPr>
        <w:t>核定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良心堡人民政府</w:t>
      </w:r>
      <w:r>
        <w:rPr>
          <w:rFonts w:hint="eastAsia" w:eastAsia="仿宋_GB2312"/>
          <w:sz w:val="32"/>
          <w:szCs w:val="32"/>
          <w:highlight w:val="none"/>
        </w:rPr>
        <w:t>全额拨款事业编制</w:t>
      </w:r>
      <w:r>
        <w:rPr>
          <w:rFonts w:hint="eastAsia" w:eastAsia="仿宋_GB2312"/>
          <w:sz w:val="32"/>
          <w:szCs w:val="32"/>
          <w:highlight w:val="none"/>
          <w:lang w:val="en-US" w:eastAsia="zh-CN"/>
        </w:rPr>
        <w:t>51</w:t>
      </w:r>
      <w:r>
        <w:rPr>
          <w:rFonts w:hint="eastAsia" w:eastAsia="仿宋_GB2312"/>
          <w:sz w:val="32"/>
          <w:szCs w:val="32"/>
          <w:highlight w:val="none"/>
        </w:rPr>
        <w:t>名。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二、部门预算单位构成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bookmarkStart w:id="0" w:name="DEPT_COMPOSE"/>
      <w:r>
        <w:rPr>
          <w:rFonts w:hint="eastAsia" w:eastAsia="仿宋_GB2312"/>
          <w:sz w:val="32"/>
          <w:szCs w:val="32"/>
          <w:lang w:val="en-US" w:eastAsia="zh-CN"/>
        </w:rPr>
        <w:t>君山区良心堡镇人民政府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部门只有本级，没有其他二级预算单位，因此，纳入2024年部门预算编制范围的只有</w:t>
      </w:r>
      <w:r>
        <w:rPr>
          <w:rFonts w:hint="eastAsia" w:eastAsia="仿宋_GB2312"/>
          <w:sz w:val="32"/>
          <w:szCs w:val="32"/>
          <w:lang w:val="en-US" w:eastAsia="zh-CN"/>
        </w:rPr>
        <w:t>君山区良心堡镇人民政府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本级。</w:t>
      </w:r>
      <w:bookmarkEnd w:id="0"/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2024年没有政府性基金预算拨款、国有资本经营预算收入和纳入专户管理的非税收入拨款收入，也没有使用政府性基金预算拨款、国有资本经营预算收入和纳入专户管理的非税收入拨款安排的支出，所以公开的附件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部门收入预算1251.53万元，其中，一般公共预算拨款1251.53万元，政府性基金预算资金0.00万元(所以公开的附件15-17表为空)，国有资本经营预算资金0.00万元(所以公开的附件18表为空)，财政专户管理资金0.00万元(所以公开的附件19表为空)，上级补助收入资金0.00万元，事业单位经营收入资金0.00万元，上年结转结余0.00万元。收入较上年减少169.6万元，下降11.93%。主要原因是按财政的要求，从2024年乡镇预算收入中将村组干部工资切块到组织部，从而导致收入预算减少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支出预算1251.53万元，其中：社会保障和就业支出222.99万元，卫生健康支出32.26万元，一般公共服务支出663.73万元，城乡社区支出68万元，农林水支出214.6万元，住房保障支出49.95万元。支出较上年减少169.6万元，下降11.93%，主要原因是按财政的要求，从2024年乡镇预算收入中将村组干部工资切块到组织部，从而导致支出预算减少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drawing>
          <wp:inline distT="0" distB="0" distL="114300" distR="114300">
            <wp:extent cx="4596765" cy="3001010"/>
            <wp:effectExtent l="4445" t="4445" r="8890" b="23495"/>
            <wp:docPr id="1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2024年本部门一般公共预算拨款支出1251.53万元，其中：社会保障和就业支出222.99万元，占17.82%；卫生健康支出32.26万元，占2.58%；一般公共服务支出663.73万元，占53.03%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城乡社区支出68万元，占5.43%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农林水支出214.6万元，占17.15%</w:t>
      </w:r>
      <w:r>
        <w:rPr>
          <w:rFonts w:hint="eastAsia" w:ascii="仿宋_GB2312" w:hAnsi="仿宋_GB2312" w:eastAsia="仿宋_GB2312" w:cs="仿宋_GB2312"/>
          <w:color w:val="000000"/>
          <w:kern w:val="2"/>
          <w:sz w:val="36"/>
          <w:szCs w:val="36"/>
          <w:shd w:val="clear" w:color="auto" w:fill="FFFFFF"/>
          <w:lang w:val="en-US" w:eastAsia="zh-CN" w:bidi="ar-SA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住房保障支出49.95万元，占3.99%。具体安排情况如下：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2024年本部门基本支出预算数847.51万元，主要是为保障部门正常运转、完成日常工作任务而发生的各项支出，包括用于基本工资、津贴补贴等人员经费以及办公费、印刷费、水电费、办公设备购置等公用经费。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项目支出预算404.02万元，主要是本部门为完成特定工作任务或事业发展目标而发生的支出，包括村级社区组织规范建设资金及服务群众专项、业务工作经费等，其中：一般公共服务支出121.42万元，主要用于完成本部门2024年度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乡镇事务支出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城乡社区支出68万元，主要用于完成本部门2024年度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拨付村社区资金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农林水支出214.6万元，主要用于完成本部门2024年度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拨付村级工作资金、村干部资金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等方面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2024年度本部门无政府性基金安排的支出，所以公开的附件15-17表（政府性基金预算）为空。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2024年君山区良心堡镇人民政府部门机关运行经费79.72万元，比上年预算下降10.68%。主要原因是厉行节约，压缩了一般性支出。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“三公”经费预算数为2万元，其中，公务接待费2万元，公务用车购置及运行费0万元（其中，公务用车购置费0万元，公务用车运行费0万元），因公出国（境）费0万元。2024年“三公”经费预算较2023年减少2万元，主要原因是严格落实中央“八项规定”精神和“过紧日子”的要求，从严控制“三公”经费支出。</w:t>
      </w:r>
      <w:bookmarkStart w:id="1" w:name="START_IS_ZERO_06_2"/>
      <w:bookmarkEnd w:id="1"/>
      <w:bookmarkStart w:id="2" w:name="DIS_MARK_IS_ZERO_06_2"/>
      <w:bookmarkEnd w:id="2"/>
      <w:bookmarkStart w:id="3" w:name="END_IS_ZERO_06_2"/>
      <w:bookmarkEnd w:id="3"/>
      <w:bookmarkStart w:id="4" w:name="END_IS_ZERO_06_1"/>
      <w:bookmarkEnd w:id="4"/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2024年本部门会议费预算0.5万元，拟召开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次会议，人数100人</w:t>
      </w:r>
      <w:r>
        <w:rPr>
          <w:rFonts w:eastAsia="仿宋_GB2312"/>
          <w:kern w:val="0"/>
          <w:sz w:val="32"/>
          <w:szCs w:val="32"/>
        </w:rPr>
        <w:t>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乡镇人大年度会议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；培训费预算0.5万元，拟开展3次培训，人数100人</w:t>
      </w:r>
      <w:r>
        <w:rPr>
          <w:rFonts w:eastAsia="仿宋_GB2312"/>
          <w:kern w:val="0"/>
          <w:sz w:val="32"/>
          <w:szCs w:val="32"/>
        </w:rPr>
        <w:t>，内容为</w:t>
      </w:r>
      <w:r>
        <w:rPr>
          <w:rFonts w:hint="eastAsia" w:eastAsia="仿宋_GB2312"/>
          <w:kern w:val="0"/>
          <w:sz w:val="32"/>
          <w:szCs w:val="32"/>
          <w:lang w:val="en-US" w:eastAsia="zh-CN"/>
        </w:rPr>
        <w:t>新增公务员培训、党课活动培训等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；2024年度本部门未计划举办节庆、晚会、论坛、赛事活动，经费预算0万元。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2024年本部门政府采购预算总额147</w:t>
      </w:r>
      <w:bookmarkStart w:id="5" w:name="_GoBack"/>
      <w:bookmarkEnd w:id="5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万元，其中，货物类采购预算92万元；工程类采购预算39万元；服务类采购预算16万元。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部门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本部门所有支出实行绩效目标管理。纳入2024年部门整体支出绩效目标的金额为1251.53万元，其中，基本支出847.51万元，项目支出404.02万元，具体绩效目标详见文尾附表中部门预算公开表格的表21-22。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附件：君山区良心堡镇人民政府2024年部门预算公开表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M1OWIzYzk1MWM3N2I3MjEzZjQ5NzNmYzQ5ZWNlZGYifQ=="/>
  </w:docVars>
  <w:rsids>
    <w:rsidRoot w:val="637274E6"/>
    <w:rsid w:val="00857C69"/>
    <w:rsid w:val="014172F6"/>
    <w:rsid w:val="02412BCB"/>
    <w:rsid w:val="02FA7BB8"/>
    <w:rsid w:val="03631DE8"/>
    <w:rsid w:val="05DE428D"/>
    <w:rsid w:val="05ED25F6"/>
    <w:rsid w:val="079242AE"/>
    <w:rsid w:val="085D0C84"/>
    <w:rsid w:val="0992531D"/>
    <w:rsid w:val="0A0D382D"/>
    <w:rsid w:val="0A3D1B08"/>
    <w:rsid w:val="0C0E576F"/>
    <w:rsid w:val="0CBF43C2"/>
    <w:rsid w:val="0D2835D5"/>
    <w:rsid w:val="0ED939EE"/>
    <w:rsid w:val="127F62FD"/>
    <w:rsid w:val="13385187"/>
    <w:rsid w:val="144178C3"/>
    <w:rsid w:val="167C1082"/>
    <w:rsid w:val="168E55F8"/>
    <w:rsid w:val="16B94831"/>
    <w:rsid w:val="17AA24A6"/>
    <w:rsid w:val="18844C6D"/>
    <w:rsid w:val="1C744CBF"/>
    <w:rsid w:val="1CD25B13"/>
    <w:rsid w:val="1D6E31FC"/>
    <w:rsid w:val="1D85581C"/>
    <w:rsid w:val="1FD800E8"/>
    <w:rsid w:val="200307FA"/>
    <w:rsid w:val="20A420AE"/>
    <w:rsid w:val="21BE18AA"/>
    <w:rsid w:val="22DF4F83"/>
    <w:rsid w:val="230C7214"/>
    <w:rsid w:val="24302B07"/>
    <w:rsid w:val="243D1BD3"/>
    <w:rsid w:val="252102E4"/>
    <w:rsid w:val="256B3D61"/>
    <w:rsid w:val="264178B0"/>
    <w:rsid w:val="26962633"/>
    <w:rsid w:val="26E130FE"/>
    <w:rsid w:val="28F21A08"/>
    <w:rsid w:val="29C372D4"/>
    <w:rsid w:val="29EC6874"/>
    <w:rsid w:val="2A351017"/>
    <w:rsid w:val="2D6329A9"/>
    <w:rsid w:val="2DA53533"/>
    <w:rsid w:val="305B1762"/>
    <w:rsid w:val="305C2E10"/>
    <w:rsid w:val="3085088F"/>
    <w:rsid w:val="315B1C59"/>
    <w:rsid w:val="31A800DF"/>
    <w:rsid w:val="324A2389"/>
    <w:rsid w:val="32865768"/>
    <w:rsid w:val="328F1D91"/>
    <w:rsid w:val="32C66482"/>
    <w:rsid w:val="3366562C"/>
    <w:rsid w:val="34521626"/>
    <w:rsid w:val="35683252"/>
    <w:rsid w:val="368D0A96"/>
    <w:rsid w:val="36BE748E"/>
    <w:rsid w:val="36CB7059"/>
    <w:rsid w:val="38E3475C"/>
    <w:rsid w:val="3951638D"/>
    <w:rsid w:val="3A242018"/>
    <w:rsid w:val="3FF66947"/>
    <w:rsid w:val="40414DCB"/>
    <w:rsid w:val="43666CD0"/>
    <w:rsid w:val="44E5068A"/>
    <w:rsid w:val="472973EE"/>
    <w:rsid w:val="477C3FDA"/>
    <w:rsid w:val="47E411CF"/>
    <w:rsid w:val="490966A2"/>
    <w:rsid w:val="496F41C2"/>
    <w:rsid w:val="4AD36F68"/>
    <w:rsid w:val="4B5D43D7"/>
    <w:rsid w:val="4BC03402"/>
    <w:rsid w:val="4DBF1A26"/>
    <w:rsid w:val="4EC2028E"/>
    <w:rsid w:val="4EE728E7"/>
    <w:rsid w:val="50447689"/>
    <w:rsid w:val="51B004D2"/>
    <w:rsid w:val="52A91D7A"/>
    <w:rsid w:val="54A70CC5"/>
    <w:rsid w:val="56301712"/>
    <w:rsid w:val="5681523A"/>
    <w:rsid w:val="576A0C54"/>
    <w:rsid w:val="5A1535D7"/>
    <w:rsid w:val="5A380B96"/>
    <w:rsid w:val="5D7F32CE"/>
    <w:rsid w:val="5F3F29C6"/>
    <w:rsid w:val="60884CBD"/>
    <w:rsid w:val="60B230E1"/>
    <w:rsid w:val="617B634E"/>
    <w:rsid w:val="636D1293"/>
    <w:rsid w:val="637274E6"/>
    <w:rsid w:val="63894210"/>
    <w:rsid w:val="63B374DF"/>
    <w:rsid w:val="662F72F1"/>
    <w:rsid w:val="66B263EF"/>
    <w:rsid w:val="69175946"/>
    <w:rsid w:val="6B49147A"/>
    <w:rsid w:val="6C0749A4"/>
    <w:rsid w:val="6C1B6290"/>
    <w:rsid w:val="6C5E2742"/>
    <w:rsid w:val="6CB542C8"/>
    <w:rsid w:val="6CC62031"/>
    <w:rsid w:val="6E315BD0"/>
    <w:rsid w:val="7076663E"/>
    <w:rsid w:val="70AE175A"/>
    <w:rsid w:val="70F92319"/>
    <w:rsid w:val="728C4B01"/>
    <w:rsid w:val="729A1F96"/>
    <w:rsid w:val="739C7F8F"/>
    <w:rsid w:val="73BE1EBD"/>
    <w:rsid w:val="74232EF6"/>
    <w:rsid w:val="748B04A5"/>
    <w:rsid w:val="74D47E83"/>
    <w:rsid w:val="753F0C2D"/>
    <w:rsid w:val="77DE623F"/>
    <w:rsid w:val="78CC0C1A"/>
    <w:rsid w:val="791A5BDE"/>
    <w:rsid w:val="7C9338B5"/>
    <w:rsid w:val="7D174260"/>
    <w:rsid w:val="7EBE525E"/>
    <w:rsid w:val="7F6D60FB"/>
    <w:rsid w:val="7F78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4"/>
            <c:bubble3D val="0"/>
            <c:spPr>
              <a:gradFill>
                <a:gsLst>
                  <a:gs pos="100000">
                    <a:schemeClr val="accent5"/>
                  </a:gs>
                  <a:gs pos="0">
                    <a:schemeClr val="accent5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5">
                        <a:lumMod val="75000"/>
                      </a:schemeClr>
                    </a:gs>
                    <a:gs pos="0">
                      <a:schemeClr val="accent5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Pt>
            <c:idx val="5"/>
            <c:bubble3D val="0"/>
            <c:spPr>
              <a:gradFill>
                <a:gsLst>
                  <a:gs pos="100000">
                    <a:schemeClr val="accent6"/>
                  </a:gs>
                  <a:gs pos="0">
                    <a:schemeClr val="accent6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6">
                        <a:lumMod val="75000"/>
                      </a:schemeClr>
                    </a:gs>
                    <a:gs pos="0">
                      <a:schemeClr val="accent6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  <a:scene3d>
                <a:camera prst="orthographicFront"/>
                <a:lightRig rig="threePt" dir="t"/>
              </a:scene3d>
              <a:sp3d contourW="9525"/>
            </c:spPr>
          </c:dPt>
          <c:dLbls>
            <c:dLbl>
              <c:idx val="0"/>
              <c:layout>
                <c:manualLayout>
                  <c:x val="-0.0383328262853666"/>
                  <c:y val="-0.0292583069094597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0.0679612745329732"/>
                  <c:y val="-0.037399556058478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0474388535015672"/>
                  <c:y val="0.11240474540063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4"/>
              <c:layout>
                <c:manualLayout>
                  <c:x val="-0.00621632822213013"/>
                  <c:y val="-0.03808717731697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5"/>
              <c:layout>
                <c:manualLayout>
                  <c:x val="-0.00828843762950684"/>
                  <c:y val="-0.050782903089293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[收入预算图.xlsx]Sheet1!$B$2:$B$7</c:f>
              <c:strCache>
                <c:ptCount val="6"/>
                <c:pt idx="0">
                  <c:v>社会保障和就业支出</c:v>
                </c:pt>
                <c:pt idx="1">
                  <c:v>卫生健康支出</c:v>
                </c:pt>
                <c:pt idx="2">
                  <c:v>一般公共服务支出</c:v>
                </c:pt>
                <c:pt idx="3">
                  <c:v>住房保障支出</c:v>
                </c:pt>
                <c:pt idx="4">
                  <c:v>城乡社区支出</c:v>
                </c:pt>
                <c:pt idx="5">
                  <c:v>农林水支出</c:v>
                </c:pt>
              </c:strCache>
            </c:strRef>
          </c:cat>
          <c:val>
            <c:numRef>
              <c:f>[收入预算图.xlsx]Sheet1!$C$2:$C$7</c:f>
              <c:numCache>
                <c:formatCode>0.00%</c:formatCode>
                <c:ptCount val="6"/>
                <c:pt idx="0">
                  <c:v>0.1782</c:v>
                </c:pt>
                <c:pt idx="1">
                  <c:v>0.0258</c:v>
                </c:pt>
                <c:pt idx="2">
                  <c:v>0.5303</c:v>
                </c:pt>
                <c:pt idx="3">
                  <c:v>0.0399</c:v>
                </c:pt>
                <c:pt idx="4">
                  <c:v>0.0543</c:v>
                </c:pt>
                <c:pt idx="5">
                  <c:v>0.1715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3799</Words>
  <Characters>4120</Characters>
  <Lines>0</Lines>
  <Paragraphs>0</Paragraphs>
  <TotalTime>6</TotalTime>
  <ScaleCrop>false</ScaleCrop>
  <LinksUpToDate>false</LinksUpToDate>
  <CharactersWithSpaces>4128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Mr.1.689小姐</cp:lastModifiedBy>
  <dcterms:modified xsi:type="dcterms:W3CDTF">2024-06-11T08:39:27Z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9CEEE6E0E4CC40F9BAE6CCA168025820_13</vt:lpwstr>
  </property>
</Properties>
</file>