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lang w:val="en-US" w:eastAsia="zh-CN"/>
        </w:rPr>
        <w:t>岳阳</w:t>
      </w:r>
      <w:r>
        <w:rPr>
          <w:rFonts w:hint="eastAsia" w:ascii="方正小标宋简体" w:hAnsi="方正小标宋简体" w:eastAsia="方正小标宋简体" w:cs="方正小标宋简体"/>
          <w:b/>
          <w:bCs/>
          <w:sz w:val="44"/>
          <w:szCs w:val="44"/>
        </w:rPr>
        <w:t>市</w:t>
      </w:r>
      <w:r>
        <w:rPr>
          <w:rFonts w:hint="eastAsia" w:ascii="方正小标宋简体" w:hAnsi="方正小标宋简体" w:eastAsia="方正小标宋简体" w:cs="方正小标宋简体"/>
          <w:b/>
          <w:bCs/>
          <w:sz w:val="44"/>
          <w:szCs w:val="44"/>
          <w:lang w:val="en-US" w:eastAsia="zh-CN"/>
        </w:rPr>
        <w:t>君山区科技和工业信息化局</w:t>
      </w:r>
    </w:p>
    <w:p>
      <w:pPr>
        <w:spacing w:line="570" w:lineRule="atLeast"/>
        <w:jc w:val="center"/>
        <w:rPr>
          <w:rFonts w:hint="eastAsia" w:ascii="黑体" w:hAnsi="黑体" w:eastAsia="黑体" w:cs="黑体"/>
          <w:b/>
          <w:bCs/>
          <w:sz w:val="48"/>
          <w:szCs w:val="48"/>
        </w:rPr>
      </w:pPr>
      <w:r>
        <w:rPr>
          <w:rFonts w:hint="eastAsia" w:ascii="方正小标宋简体" w:hAnsi="方正小标宋简体" w:eastAsia="方正小标宋简体" w:cs="方正小标宋简体"/>
          <w:b/>
          <w:bCs/>
          <w:sz w:val="44"/>
          <w:szCs w:val="44"/>
        </w:rPr>
        <w:t>2024年部门预算公开</w:t>
      </w:r>
    </w:p>
    <w:p>
      <w:pPr>
        <w:rPr>
          <w:rFonts w:hint="eastAsia"/>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widowControl/>
        <w:spacing w:line="570" w:lineRule="atLeast"/>
        <w:ind w:firstLine="630" w:firstLineChars="196"/>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hint="eastAsia" w:asciiTheme="minorEastAsia" w:hAnsiTheme="minorEastAsia" w:eastAsiaTheme="minorEastAsia" w:cstheme="minorEastAsia"/>
          <w:b/>
          <w:bCs/>
          <w:sz w:val="28"/>
          <w:szCs w:val="28"/>
        </w:rPr>
      </w:pPr>
    </w:p>
    <w:p>
      <w:pPr>
        <w:jc w:val="center"/>
        <w:rPr>
          <w:rFonts w:hint="eastAsia"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widowControl/>
        <w:spacing w:line="570" w:lineRule="atLeast"/>
        <w:ind w:firstLine="643" w:firstLineChars="200"/>
        <w:rPr>
          <w:rFonts w:hint="eastAsia" w:ascii="Times New Roman" w:hAnsi="Times New Roman" w:eastAsia="黑体" w:cs="Times New Roman"/>
          <w:b/>
          <w:bCs/>
          <w:kern w:val="0"/>
          <w:sz w:val="32"/>
          <w:szCs w:val="32"/>
        </w:rPr>
      </w:pP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hint="eastAsia" w:ascii="仿宋_GB2312" w:hAnsi="仿宋_GB2312" w:eastAsia="仿宋_GB2312" w:cs="仿宋_GB2312"/>
          <w:b/>
          <w:bCs/>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（一）职能职责</w:t>
      </w:r>
    </w:p>
    <w:p>
      <w:pPr>
        <w:pStyle w:val="5"/>
        <w:shd w:val="clear" w:color="auto" w:fill="FFFFFF"/>
        <w:spacing w:before="0" w:beforeAutospacing="0" w:after="0" w:afterAutospacing="0" w:line="600" w:lineRule="exact"/>
        <w:ind w:firstLine="482"/>
        <w:jc w:val="both"/>
        <w:rPr>
          <w:rFonts w:eastAsia="仿宋_GB2312"/>
          <w:kern w:val="2"/>
          <w:sz w:val="32"/>
          <w:szCs w:val="32"/>
        </w:rPr>
      </w:pPr>
      <w:r>
        <w:rPr>
          <w:rFonts w:eastAsia="仿宋_GB2312"/>
          <w:kern w:val="2"/>
          <w:sz w:val="32"/>
          <w:szCs w:val="32"/>
        </w:rPr>
        <w:t>1.贯彻落实国家和省、市有关科技、工业和信息化的方针政策和法律法规；起草科技、工业和信息化领域的规范性文件，并组织实施；对相关法律法规的执行情况进行监督检查；协调减轻企业负担工作。拟订并组织实施科技和工业信息化发展规划、计划及产业政策；研究提出推进工业和信息化领域产业结构调整、工业与相关产业融合发展及管理创新的政策建议；指导工业和信息化领域加强安全生产、质量管理和应急管理工作；会同有关部门做好全区维护企业稳定工作。</w:t>
      </w:r>
    </w:p>
    <w:p>
      <w:pPr>
        <w:widowControl/>
        <w:shd w:val="clear" w:color="auto" w:fill="FFFFFF"/>
        <w:spacing w:line="600" w:lineRule="exact"/>
        <w:ind w:firstLine="482"/>
        <w:rPr>
          <w:rFonts w:eastAsia="仿宋_GB2312"/>
          <w:sz w:val="32"/>
          <w:szCs w:val="32"/>
        </w:rPr>
      </w:pPr>
      <w:r>
        <w:rPr>
          <w:rFonts w:eastAsia="仿宋_GB2312"/>
          <w:sz w:val="32"/>
          <w:szCs w:val="32"/>
        </w:rPr>
        <w:t>2.组织实施区科技重大专项和区级科技计划工作。</w:t>
      </w:r>
    </w:p>
    <w:p>
      <w:pPr>
        <w:widowControl/>
        <w:shd w:val="clear" w:color="auto" w:fill="FFFFFF"/>
        <w:spacing w:line="600" w:lineRule="exact"/>
        <w:ind w:firstLine="482"/>
        <w:rPr>
          <w:rFonts w:eastAsia="仿宋_GB2312"/>
          <w:sz w:val="32"/>
          <w:szCs w:val="32"/>
        </w:rPr>
      </w:pPr>
      <w:r>
        <w:rPr>
          <w:rFonts w:eastAsia="仿宋_GB2312"/>
          <w:sz w:val="32"/>
          <w:szCs w:val="32"/>
        </w:rPr>
        <w:t>3.牵头组织全区农村和社会发展领域的科技进步工作。</w:t>
      </w:r>
    </w:p>
    <w:p>
      <w:pPr>
        <w:widowControl/>
        <w:shd w:val="clear" w:color="auto" w:fill="FFFFFF"/>
        <w:spacing w:line="600" w:lineRule="exact"/>
        <w:ind w:firstLine="482"/>
        <w:rPr>
          <w:rFonts w:eastAsia="仿宋_GB2312"/>
          <w:sz w:val="32"/>
          <w:szCs w:val="32"/>
        </w:rPr>
      </w:pPr>
      <w:r>
        <w:rPr>
          <w:rFonts w:eastAsia="仿宋_GB2312"/>
          <w:sz w:val="32"/>
          <w:szCs w:val="32"/>
        </w:rPr>
        <w:t>4.牵头组织协调促进全区产学研结合工作。</w:t>
      </w:r>
    </w:p>
    <w:p>
      <w:pPr>
        <w:widowControl/>
        <w:shd w:val="clear" w:color="auto" w:fill="FFFFFF"/>
        <w:spacing w:line="600" w:lineRule="exact"/>
        <w:ind w:firstLine="482"/>
        <w:rPr>
          <w:rFonts w:eastAsia="仿宋_GB2312"/>
          <w:sz w:val="32"/>
          <w:szCs w:val="32"/>
        </w:rPr>
      </w:pPr>
      <w:r>
        <w:rPr>
          <w:rFonts w:eastAsia="仿宋_GB2312"/>
          <w:sz w:val="32"/>
          <w:szCs w:val="32"/>
        </w:rPr>
        <w:t>5.主管全区高新技术的研究开发、成果转化以及产业化工作。</w:t>
      </w:r>
    </w:p>
    <w:p>
      <w:pPr>
        <w:widowControl/>
        <w:shd w:val="clear" w:color="auto" w:fill="FFFFFF"/>
        <w:spacing w:line="600" w:lineRule="exact"/>
        <w:ind w:firstLine="482"/>
        <w:rPr>
          <w:rFonts w:eastAsia="仿宋_GB2312"/>
          <w:sz w:val="32"/>
          <w:szCs w:val="32"/>
        </w:rPr>
      </w:pPr>
      <w:r>
        <w:rPr>
          <w:rFonts w:eastAsia="仿宋_GB2312"/>
          <w:sz w:val="32"/>
          <w:szCs w:val="32"/>
        </w:rPr>
        <w:t>6.负责本部门及归口管理单位的区级科技经费预决算和经费使用的监督管理；负责制定并会同有关部门实施全区科技基础条件平台建设计划，推进科技基础条件平台共建共享；会同有关部门提出科技资源合理配置的政策建议。   </w:t>
      </w:r>
    </w:p>
    <w:p>
      <w:pPr>
        <w:widowControl/>
        <w:shd w:val="clear" w:color="auto" w:fill="FFFFFF"/>
        <w:spacing w:line="600" w:lineRule="exact"/>
        <w:ind w:firstLine="482"/>
        <w:rPr>
          <w:rFonts w:eastAsia="仿宋_GB2312"/>
          <w:sz w:val="32"/>
          <w:szCs w:val="32"/>
        </w:rPr>
      </w:pPr>
      <w:r>
        <w:rPr>
          <w:rFonts w:eastAsia="仿宋_GB2312"/>
          <w:sz w:val="32"/>
          <w:szCs w:val="32"/>
        </w:rPr>
        <w:t>7.负责全区科技和工业和信息化领域的人才有关工作；指导全区科技和工业和信息化领域人才开发和培训工作；开展人才和智力对外合作交流；承担全区科技人才队伍建设和科技创新团队建设有关工作。</w:t>
      </w:r>
    </w:p>
    <w:p>
      <w:pPr>
        <w:widowControl/>
        <w:shd w:val="clear" w:color="auto" w:fill="FFFFFF"/>
        <w:spacing w:line="600" w:lineRule="exact"/>
        <w:ind w:firstLine="482"/>
        <w:rPr>
          <w:rFonts w:eastAsia="仿宋_GB2312"/>
          <w:sz w:val="32"/>
          <w:szCs w:val="32"/>
        </w:rPr>
      </w:pPr>
      <w:r>
        <w:rPr>
          <w:rFonts w:eastAsia="仿宋_GB2312"/>
          <w:sz w:val="32"/>
          <w:szCs w:val="32"/>
        </w:rPr>
        <w:t>8.负责全区科技奖励、技术保密、科技评估、科技统计等工作。</w:t>
      </w:r>
    </w:p>
    <w:p>
      <w:pPr>
        <w:widowControl/>
        <w:shd w:val="clear" w:color="auto" w:fill="FFFFFF"/>
        <w:spacing w:line="600" w:lineRule="exact"/>
        <w:ind w:firstLine="482"/>
        <w:rPr>
          <w:rFonts w:eastAsia="仿宋_GB2312"/>
          <w:sz w:val="32"/>
          <w:szCs w:val="32"/>
        </w:rPr>
      </w:pPr>
      <w:r>
        <w:rPr>
          <w:rFonts w:eastAsia="仿宋_GB2312"/>
          <w:sz w:val="32"/>
          <w:szCs w:val="32"/>
        </w:rPr>
        <w:t>9.负责全区工业和信息化领域的日常运行调节。</w:t>
      </w:r>
    </w:p>
    <w:p>
      <w:pPr>
        <w:widowControl/>
        <w:shd w:val="clear" w:color="auto" w:fill="FFFFFF"/>
        <w:spacing w:line="600" w:lineRule="exact"/>
        <w:ind w:firstLine="482"/>
        <w:rPr>
          <w:rFonts w:eastAsia="仿宋_GB2312"/>
          <w:sz w:val="32"/>
          <w:szCs w:val="32"/>
        </w:rPr>
      </w:pPr>
      <w:r>
        <w:rPr>
          <w:rFonts w:eastAsia="仿宋_GB2312"/>
          <w:sz w:val="32"/>
          <w:szCs w:val="32"/>
        </w:rPr>
        <w:t>10.拟订全区新型工业化的发展战略，协调解决有关重大问题；推进信息化和工业化融合；推进全区国民经济和社会信息化。</w:t>
      </w:r>
    </w:p>
    <w:p>
      <w:pPr>
        <w:widowControl/>
        <w:shd w:val="clear" w:color="auto" w:fill="FFFFFF"/>
        <w:spacing w:line="600" w:lineRule="exact"/>
        <w:ind w:firstLine="482"/>
        <w:rPr>
          <w:rFonts w:eastAsia="仿宋_GB2312"/>
          <w:sz w:val="32"/>
          <w:szCs w:val="32"/>
        </w:rPr>
      </w:pPr>
      <w:r>
        <w:rPr>
          <w:rFonts w:eastAsia="仿宋_GB2312"/>
          <w:sz w:val="32"/>
          <w:szCs w:val="32"/>
        </w:rPr>
        <w:t>11.指导工业和信息化领域技术进步、技术创新；推进工业行业体制改革和管理创新，推进产学研结合和科研成果产业化；编制并组织实施技术改造规划，提出工业和信息化固定资产投资规模和方向。</w:t>
      </w:r>
    </w:p>
    <w:p>
      <w:pPr>
        <w:widowControl/>
        <w:shd w:val="clear" w:color="auto" w:fill="FFFFFF"/>
        <w:spacing w:line="600" w:lineRule="exact"/>
        <w:ind w:firstLine="482"/>
        <w:rPr>
          <w:rFonts w:eastAsia="仿宋_GB2312"/>
          <w:sz w:val="32"/>
          <w:szCs w:val="32"/>
        </w:rPr>
      </w:pPr>
      <w:r>
        <w:rPr>
          <w:rFonts w:eastAsia="仿宋_GB2312"/>
          <w:sz w:val="32"/>
          <w:szCs w:val="32"/>
        </w:rPr>
        <w:t>12.负责中小企业经济发展和全民创业的宏观指导；制订全区中小企业经济中长期发展规划并组织实施；推进中小企业服务体系建设和全民创业；综合协调有关部门拟订促进中小企业经济发展和全民创业的政策措施，协调解决有关重大问题。</w:t>
      </w:r>
    </w:p>
    <w:p>
      <w:pPr>
        <w:widowControl/>
        <w:shd w:val="clear" w:color="auto" w:fill="FFFFFF"/>
        <w:spacing w:line="600" w:lineRule="exact"/>
        <w:ind w:firstLine="482"/>
        <w:rPr>
          <w:rFonts w:eastAsia="仿宋_GB2312"/>
          <w:sz w:val="32"/>
          <w:szCs w:val="32"/>
        </w:rPr>
      </w:pPr>
      <w:r>
        <w:rPr>
          <w:rFonts w:eastAsia="仿宋_GB2312"/>
          <w:sz w:val="32"/>
          <w:szCs w:val="32"/>
        </w:rPr>
        <w:t>13.组织拟订信息化发展战略、专项规划及相关政策，协调解决重大问题；根据国家、省、市统一规划，协调全区公用通信网、互联网、广播电视网和其他专用信息网的规划和建设，促进网络资源共享；促进电信、广播电视和计算机网络融合；指导、协调电子政务发展；推动跨行业、跨部门的互联互通和重要信息资源的开发利用、共享；依法监督管理信息服务市场；推进全区信息化建设。</w:t>
      </w:r>
    </w:p>
    <w:p>
      <w:pPr>
        <w:widowControl/>
        <w:shd w:val="clear" w:color="auto" w:fill="FFFFFF"/>
        <w:spacing w:line="600" w:lineRule="exact"/>
        <w:ind w:firstLine="482"/>
        <w:rPr>
          <w:rFonts w:hint="default" w:ascii="仿宋_GB2312" w:hAnsi="仿宋_GB2312" w:eastAsia="仿宋_GB2312" w:cs="仿宋_GB2312"/>
          <w:color w:val="000000"/>
          <w:sz w:val="32"/>
          <w:szCs w:val="32"/>
          <w:shd w:val="clear" w:color="auto" w:fill="FFFFFF"/>
          <w:lang w:val="en-US" w:eastAsia="zh-CN"/>
        </w:rPr>
      </w:pPr>
      <w:r>
        <w:rPr>
          <w:rFonts w:eastAsia="仿宋_GB2312"/>
          <w:sz w:val="32"/>
          <w:szCs w:val="32"/>
        </w:rPr>
        <w:t>14.拟订全区信息安全发展战略、规划，指导、协调信息安全保障体系建设；指导监督政府部门、重点行业重要信息资源系统与基础信息网络的安全保障工作，协助处理网络与信息安全的重大事件。（十五）承办区委、区政府交办的其他事项。</w:t>
      </w:r>
    </w:p>
    <w:p>
      <w:pPr>
        <w:spacing w:line="57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（二）机构设置</w:t>
      </w:r>
    </w:p>
    <w:p>
      <w:pPr>
        <w:pStyle w:val="5"/>
        <w:shd w:val="clear" w:color="auto" w:fill="FFFFFF"/>
        <w:spacing w:before="0" w:beforeAutospacing="0" w:after="0" w:afterAutospacing="0" w:line="600" w:lineRule="exact"/>
        <w:ind w:firstLine="482"/>
        <w:jc w:val="both"/>
        <w:rPr>
          <w:rFonts w:hint="eastAsia" w:asciiTheme="minorEastAsia" w:hAnsiTheme="minorEastAsia" w:cstheme="minorEastAsia"/>
          <w:color w:val="auto"/>
          <w:sz w:val="28"/>
          <w:szCs w:val="28"/>
          <w:highlight w:val="none"/>
          <w:lang w:val="en-US" w:eastAsia="zh-CN"/>
        </w:rPr>
      </w:pPr>
      <w:r>
        <w:rPr>
          <w:rFonts w:hint="eastAsia" w:asciiTheme="minorEastAsia" w:hAnsiTheme="minorEastAsia" w:cstheme="minorEastAsia"/>
          <w:color w:val="auto"/>
          <w:sz w:val="28"/>
          <w:szCs w:val="28"/>
          <w:highlight w:val="none"/>
          <w:lang w:val="en-US" w:eastAsia="zh-CN"/>
        </w:rPr>
        <w:t xml:space="preserve">  </w:t>
      </w:r>
      <w:r>
        <w:rPr>
          <w:rFonts w:hint="eastAsia" w:eastAsia="仿宋_GB2312"/>
          <w:kern w:val="2"/>
          <w:sz w:val="32"/>
          <w:szCs w:val="32"/>
          <w:lang w:eastAsia="zh-CN"/>
        </w:rPr>
        <w:t>君山区科技和工业信息化局</w:t>
      </w:r>
      <w:r>
        <w:rPr>
          <w:rFonts w:eastAsia="仿宋_GB2312"/>
          <w:kern w:val="2"/>
          <w:sz w:val="32"/>
          <w:szCs w:val="32"/>
        </w:rPr>
        <w:t>设6个内设机构：办公室（法规股）、科技服务股、经济运行股、产业发展股、节能利用股、信息化股和2个所属事业：君山区中小企业服务中心，君山区科技创业服务中心。</w:t>
      </w:r>
      <w:r>
        <w:rPr>
          <w:rFonts w:hint="eastAsia" w:eastAsia="仿宋_GB2312"/>
          <w:sz w:val="32"/>
          <w:szCs w:val="32"/>
          <w:lang w:eastAsia="zh-CN"/>
        </w:rPr>
        <w:t>设有</w:t>
      </w:r>
      <w:r>
        <w:rPr>
          <w:rFonts w:eastAsia="仿宋_GB2312"/>
          <w:sz w:val="32"/>
          <w:szCs w:val="32"/>
        </w:rPr>
        <w:t>编制1</w:t>
      </w:r>
      <w:r>
        <w:rPr>
          <w:rFonts w:hint="eastAsia" w:eastAsia="仿宋_GB2312"/>
          <w:sz w:val="32"/>
          <w:szCs w:val="32"/>
        </w:rPr>
        <w:t>0</w:t>
      </w:r>
      <w:r>
        <w:rPr>
          <w:rFonts w:eastAsia="仿宋_GB2312"/>
          <w:sz w:val="32"/>
          <w:szCs w:val="32"/>
        </w:rPr>
        <w:t>个，</w:t>
      </w:r>
      <w:r>
        <w:rPr>
          <w:rFonts w:hint="eastAsia" w:eastAsia="仿宋_GB2312"/>
          <w:sz w:val="32"/>
          <w:szCs w:val="32"/>
          <w:lang w:eastAsia="zh-CN"/>
        </w:rPr>
        <w:t>实际</w:t>
      </w:r>
      <w:r>
        <w:rPr>
          <w:rFonts w:eastAsia="仿宋_GB2312"/>
          <w:sz w:val="32"/>
          <w:szCs w:val="32"/>
        </w:rPr>
        <w:t>行政编制</w:t>
      </w:r>
      <w:r>
        <w:rPr>
          <w:rFonts w:hint="eastAsia" w:eastAsia="仿宋_GB2312"/>
          <w:sz w:val="32"/>
          <w:szCs w:val="32"/>
          <w:lang w:val="en-US" w:eastAsia="zh-CN"/>
        </w:rPr>
        <w:t>5</w:t>
      </w:r>
      <w:r>
        <w:rPr>
          <w:rFonts w:eastAsia="仿宋_GB2312"/>
          <w:sz w:val="32"/>
          <w:szCs w:val="32"/>
        </w:rPr>
        <w:t>个，事业编制</w:t>
      </w:r>
      <w:r>
        <w:rPr>
          <w:rFonts w:hint="eastAsia" w:eastAsia="仿宋_GB2312"/>
          <w:sz w:val="32"/>
          <w:szCs w:val="32"/>
          <w:lang w:val="en-US" w:eastAsia="zh-CN"/>
        </w:rPr>
        <w:t>4</w:t>
      </w:r>
      <w:r>
        <w:rPr>
          <w:rFonts w:eastAsia="仿宋_GB2312"/>
          <w:sz w:val="32"/>
          <w:szCs w:val="32"/>
        </w:rPr>
        <w:t>个。另有临聘人员3人， 离退休</w:t>
      </w:r>
      <w:r>
        <w:rPr>
          <w:rFonts w:hint="eastAsia" w:eastAsia="仿宋_GB2312"/>
          <w:sz w:val="32"/>
          <w:szCs w:val="32"/>
          <w:lang w:val="en-US" w:eastAsia="zh-CN"/>
        </w:rPr>
        <w:t>25</w:t>
      </w:r>
      <w:r>
        <w:rPr>
          <w:rFonts w:eastAsia="仿宋_GB2312"/>
          <w:sz w:val="32"/>
          <w:szCs w:val="32"/>
        </w:rPr>
        <w:t>人。</w:t>
      </w:r>
      <w:r>
        <w:rPr>
          <w:rFonts w:hint="eastAsia" w:asciiTheme="minorEastAsia" w:hAnsiTheme="minorEastAsia" w:cstheme="minorEastAsia"/>
          <w:color w:val="auto"/>
          <w:sz w:val="28"/>
          <w:szCs w:val="28"/>
          <w:highlight w:val="none"/>
          <w:lang w:val="en-US" w:eastAsia="zh-CN"/>
        </w:rPr>
        <w:t xml:space="preserve"> </w:t>
      </w:r>
    </w:p>
    <w:p>
      <w:pPr>
        <w:widowControl/>
        <w:spacing w:line="570" w:lineRule="atLeast"/>
        <w:ind w:firstLine="643" w:firstLineChars="200"/>
        <w:rPr>
          <w:rFonts w:hint="eastAsia" w:ascii="Times New Roman" w:hAnsi="Times New Roman" w:eastAsia="黑体" w:cs="Times New Roman"/>
          <w:b/>
          <w:bCs/>
          <w:color w:val="auto"/>
          <w:kern w:val="0"/>
          <w:sz w:val="32"/>
          <w:szCs w:val="32"/>
          <w:highlight w:val="none"/>
        </w:rPr>
      </w:pPr>
      <w:r>
        <w:rPr>
          <w:rFonts w:hint="eastAsia" w:ascii="Times New Roman" w:hAnsi="Times New Roman" w:eastAsia="黑体" w:cs="Times New Roman"/>
          <w:b/>
          <w:bCs/>
          <w:color w:val="auto"/>
          <w:kern w:val="0"/>
          <w:sz w:val="32"/>
          <w:szCs w:val="32"/>
          <w:highlight w:val="none"/>
        </w:rPr>
        <w:t>二、部门预算单位构成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Theme="minorEastAsia" w:hAnsiTheme="minorEastAsia" w:eastAsiaTheme="minorEastAsia" w:cstheme="minorEastAsia"/>
          <w:i w:val="0"/>
          <w:iCs w:val="0"/>
          <w:caps w:val="0"/>
          <w:color w:val="auto"/>
          <w:spacing w:val="0"/>
          <w:sz w:val="28"/>
          <w:szCs w:val="28"/>
          <w:highlight w:val="none"/>
          <w:shd w:val="clear" w:fill="FFFFFF"/>
        </w:rPr>
      </w:pPr>
      <w:bookmarkStart w:id="0" w:name="DEPT_COMPOSE"/>
      <w:r>
        <w:rPr>
          <w:rFonts w:hint="eastAsia" w:ascii="仿宋_GB2312" w:hAnsi="仿宋_GB2312" w:eastAsia="仿宋_GB2312" w:cs="仿宋_GB2312"/>
          <w:color w:val="auto"/>
          <w:kern w:val="2"/>
          <w:sz w:val="32"/>
          <w:szCs w:val="32"/>
          <w:highlight w:val="none"/>
          <w:shd w:val="clear" w:color="auto" w:fill="FFFFFF"/>
          <w:lang w:val="en-US" w:eastAsia="zh-CN" w:bidi="ar-SA"/>
        </w:rPr>
        <w:t>岳阳市君山区科技和工业信息化局部门只有本级，没有其他二级预算单位，因此，纳入2024年部门预算编制范围的只有岳阳市君山区科技和工业信息化局本级。</w:t>
      </w:r>
      <w:bookmarkEnd w:id="0"/>
    </w:p>
    <w:p>
      <w:pPr>
        <w:widowControl/>
        <w:spacing w:line="570" w:lineRule="atLeast"/>
        <w:ind w:firstLine="643" w:firstLineChars="200"/>
        <w:rPr>
          <w:rFonts w:hint="eastAsia" w:ascii="Times New Roman" w:hAnsi="Times New Roman" w:eastAsia="黑体" w:cs="Times New Roman"/>
          <w:b/>
          <w:bCs/>
          <w:color w:val="auto"/>
          <w:kern w:val="0"/>
          <w:sz w:val="32"/>
          <w:szCs w:val="32"/>
          <w:highlight w:val="none"/>
        </w:rPr>
      </w:pPr>
      <w:r>
        <w:rPr>
          <w:rFonts w:hint="eastAsia" w:ascii="Times New Roman" w:hAnsi="Times New Roman" w:eastAsia="黑体" w:cs="Times New Roman"/>
          <w:b/>
          <w:bCs/>
          <w:color w:val="auto"/>
          <w:kern w:val="0"/>
          <w:sz w:val="32"/>
          <w:szCs w:val="32"/>
          <w:highlight w:val="none"/>
          <w:lang w:val="en-US" w:eastAsia="zh-CN"/>
        </w:rPr>
        <w:t>三、</w:t>
      </w:r>
      <w:r>
        <w:rPr>
          <w:rFonts w:hint="eastAsia" w:ascii="Times New Roman" w:hAnsi="Times New Roman" w:eastAsia="黑体" w:cs="Times New Roman"/>
          <w:b/>
          <w:bCs/>
          <w:color w:val="auto"/>
          <w:kern w:val="0"/>
          <w:sz w:val="32"/>
          <w:szCs w:val="32"/>
          <w:highlight w:val="none"/>
        </w:rPr>
        <w:t>部门收支总体情况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auto"/>
          <w:kern w:val="2"/>
          <w:sz w:val="32"/>
          <w:szCs w:val="32"/>
          <w:highlight w:val="none"/>
          <w:shd w:val="clear" w:color="auto" w:fill="FFFFFF"/>
          <w:lang w:val="en-US" w:eastAsia="zh-CN" w:bidi="ar-SA"/>
        </w:rPr>
      </w:pPr>
      <w:r>
        <w:rPr>
          <w:rFonts w:hint="eastAsia" w:ascii="仿宋_GB2312" w:hAnsi="仿宋_GB2312" w:eastAsia="仿宋_GB2312" w:cs="仿宋_GB2312"/>
          <w:color w:val="auto"/>
          <w:kern w:val="2"/>
          <w:sz w:val="32"/>
          <w:szCs w:val="32"/>
          <w:highlight w:val="none"/>
          <w:shd w:val="clear" w:color="auto" w:fill="FFFFFF"/>
          <w:lang w:val="en-US" w:eastAsia="zh-CN" w:bidi="ar-SA"/>
        </w:rPr>
        <w:t>本部门2024年没有政府性基金预算拨款、国有资本经营预算收入和纳入专户管理的非税收入拨款收入，也没有使用政府性基金预算拨款、国有资本经营预算收入和纳入专户管理的非税收入拨款安排的支出，所以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15、16、17、18、19表均为空。</w:t>
      </w:r>
    </w:p>
    <w:p>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color w:val="auto"/>
          <w:kern w:val="2"/>
          <w:sz w:val="32"/>
          <w:szCs w:val="32"/>
          <w:highlight w:val="none"/>
          <w:lang w:val="en-US" w:eastAsia="zh-CN" w:bidi="ar-SA"/>
        </w:rPr>
        <w:t>收入预算：</w:t>
      </w:r>
      <w:r>
        <w:rPr>
          <w:rFonts w:hint="eastAsia" w:ascii="仿宋_GB2312" w:hAnsi="仿宋_GB2312" w:eastAsia="仿宋_GB2312" w:cs="仿宋_GB2312"/>
          <w:color w:val="auto"/>
          <w:kern w:val="2"/>
          <w:sz w:val="32"/>
          <w:szCs w:val="32"/>
          <w:highlight w:val="none"/>
          <w:shd w:val="clear" w:color="auto" w:fill="FFFFFF"/>
          <w:lang w:val="en-US" w:eastAsia="zh-CN" w:bidi="ar-SA"/>
        </w:rPr>
        <w:t>包括一般公共预算、政府性基金、国有资本经营预算等财政拨款收入，以及经营收入、事业收入等单位资金。2024年本部门收入预算281.98万元，其中，一般公共预算拨款281.98万元，政府性基金预算资金0.00万元(所以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15-17表为空)，国有资本经营预算资金0.00万元(所以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18表为空)，财政专户管理资金0.00万元(所以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19表为空</w:t>
      </w:r>
      <w:r>
        <w:rPr>
          <w:rFonts w:hint="eastAsia" w:ascii="仿宋_GB2312" w:hAnsi="仿宋_GB2312" w:eastAsia="仿宋_GB2312" w:cs="仿宋_GB2312"/>
          <w:color w:val="000000"/>
          <w:kern w:val="2"/>
          <w:sz w:val="32"/>
          <w:szCs w:val="32"/>
          <w:shd w:val="clear" w:color="auto" w:fill="FFFFFF"/>
          <w:lang w:val="en-US" w:eastAsia="zh-CN" w:bidi="ar-SA"/>
        </w:rPr>
        <w:t>)，上级补助收入资金0.00万元，事业单位经营收入资金0.00万元，上年结转结余0.00万元。收入较上年减少55.14万元，下降16.36%。主要原因是单位有1名工作人员退休，从而导致工资福利及商品服务支出减少。</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leftChars="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kern w:val="2"/>
          <w:sz w:val="32"/>
          <w:szCs w:val="32"/>
          <w:lang w:val="en-US" w:eastAsia="zh-CN" w:bidi="ar-SA"/>
        </w:rPr>
        <w:t>支出预算：</w:t>
      </w:r>
      <w:r>
        <w:rPr>
          <w:rFonts w:hint="eastAsia" w:ascii="仿宋_GB2312" w:hAnsi="仿宋_GB2312" w:eastAsia="仿宋_GB2312" w:cs="仿宋_GB2312"/>
          <w:color w:val="000000"/>
          <w:kern w:val="2"/>
          <w:sz w:val="32"/>
          <w:szCs w:val="32"/>
          <w:shd w:val="clear" w:color="auto" w:fill="FFFFFF"/>
          <w:lang w:val="en-US" w:eastAsia="zh-CN" w:bidi="ar-SA"/>
        </w:rPr>
        <w:t>2024年本部门支出预算281.98万元，其中：科学技术支出207.02万元，社会保障和就业支出56.48万元，卫生健康支出7.74万元，住房保障支出10.74万元。支出较上年减少55.14万元，下降16.36%。主要原因是单位有1名工作人员退休，从而导致工资福利及商品服务支出减少。</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rightChars="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drawing>
          <wp:inline distT="0" distB="0" distL="114300" distR="114300">
            <wp:extent cx="5273040" cy="3053080"/>
            <wp:effectExtent l="4445" t="4445" r="18415" b="9525"/>
            <wp:docPr id="1" name="图表 1" descr="7b0a202020202263686172745265734964223a20223230343730393037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部门一般公共预算拨款支出281.98万元，其中：科学技术支出207.02万元，占73.42%；社会保障和就业支出56.48万元，占20.03%；卫生健康支出7.74万元，占2.74%；住房保障支出10.74万元，占3.81%。具体安排情况如下：</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sz w:val="32"/>
          <w:szCs w:val="32"/>
        </w:rPr>
        <w:t>（一）基本支出：</w:t>
      </w:r>
      <w:r>
        <w:rPr>
          <w:rFonts w:hint="eastAsia" w:ascii="仿宋_GB2312" w:hAnsi="仿宋_GB2312" w:eastAsia="仿宋_GB2312" w:cs="仿宋_GB2312"/>
          <w:color w:val="000000"/>
          <w:kern w:val="2"/>
          <w:sz w:val="32"/>
          <w:szCs w:val="32"/>
          <w:shd w:val="clear" w:color="auto" w:fill="FFFFFF"/>
          <w:lang w:val="en-US" w:eastAsia="zh-CN" w:bidi="ar-SA"/>
        </w:rPr>
        <w:t>2024年本部门基本支出预算数180.98万元，主要是为保障部门正常运转、完成日常工作任务而发生的各项支出，包括用于基本工资、津贴补贴等人员经费以及办公费、印刷费、水电费、办公设备购置等公用经费。</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（二）项目支出：</w:t>
      </w:r>
      <w:r>
        <w:rPr>
          <w:rFonts w:hint="eastAsia" w:ascii="仿宋_GB2312" w:hAnsi="仿宋_GB2312" w:eastAsia="仿宋_GB2312" w:cs="仿宋_GB2312"/>
          <w:color w:val="000000"/>
          <w:kern w:val="2"/>
          <w:sz w:val="32"/>
          <w:szCs w:val="32"/>
          <w:shd w:val="clear" w:color="auto" w:fill="FFFFFF"/>
          <w:lang w:val="en-US" w:eastAsia="zh-CN" w:bidi="ar-SA"/>
        </w:rPr>
        <w:t>2024年本部门项目支出预算101万元，主要是本部门为完成特定工作任务或事业发展目标而发生的支出，包括业务工作经费，其中：科学技术支出101万元，主要用于完成区委、政府和上级业务主管部门的目标任务，大力培育规模工业企业，推进新型工业化建设和工业企业服务年活动。组织申报省，市科技计划项目和推广农业示范项目等。</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五、政府性基金预算支出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2024年度本部门无政府性基金安排的支出，所以公开的附件15-17表（政府性基金预算）为空。</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六、其他重要事项的情况说明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（一）机关运行经费：</w:t>
      </w:r>
      <w:r>
        <w:rPr>
          <w:rFonts w:hint="eastAsia" w:ascii="仿宋_GB2312" w:hAnsi="仿宋_GB2312" w:eastAsia="仿宋_GB2312" w:cs="仿宋_GB2312"/>
          <w:color w:val="000000"/>
          <w:kern w:val="2"/>
          <w:sz w:val="32"/>
          <w:szCs w:val="32"/>
          <w:shd w:val="clear" w:color="auto" w:fill="FFFFFF"/>
          <w:lang w:val="en-US" w:eastAsia="zh-CN" w:bidi="ar-SA"/>
        </w:rPr>
        <w:t>2024年区科技和工业信息化局部门机关运行经费16.5万元，比上年预算下降17.95%。主要原因是单位退休人员增加，造成公用经费预算减少。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（二）“三公”经费预算：</w:t>
      </w:r>
      <w:r>
        <w:rPr>
          <w:rFonts w:hint="eastAsia" w:ascii="仿宋_GB2312" w:hAnsi="仿宋_GB2312" w:eastAsia="仿宋_GB2312" w:cs="仿宋_GB2312"/>
          <w:color w:val="000000"/>
          <w:kern w:val="2"/>
          <w:sz w:val="32"/>
          <w:szCs w:val="32"/>
          <w:shd w:val="clear" w:color="auto" w:fill="FFFFFF"/>
          <w:lang w:val="en-US" w:eastAsia="zh-CN" w:bidi="ar-SA"/>
        </w:rPr>
        <w:t>2024年本部门“三公”经费预算数为1.2万元，其中，公务接待费1.2万元，公务用车购置及运行费0万元（其中，公务用车购置费0万元，公务用车运行费0万元），因公出国（境）费0万元。2024年“三公”经费预算与</w:t>
      </w:r>
      <w:bookmarkStart w:id="5" w:name="_GoBack"/>
      <w:bookmarkEnd w:id="5"/>
      <w:r>
        <w:rPr>
          <w:rFonts w:hint="eastAsia" w:ascii="仿宋_GB2312" w:hAnsi="仿宋_GB2312" w:eastAsia="仿宋_GB2312" w:cs="仿宋_GB2312"/>
          <w:color w:val="000000"/>
          <w:kern w:val="2"/>
          <w:sz w:val="32"/>
          <w:szCs w:val="32"/>
          <w:shd w:val="clear" w:color="auto" w:fill="FFFFFF"/>
          <w:lang w:val="en-US" w:eastAsia="zh-CN" w:bidi="ar-SA"/>
        </w:rPr>
        <w:t>2023年持平，主要原因是严格落实中央“八项规定”精神和“过紧日子”的要求，从严控制“三公”经费支出。</w:t>
      </w:r>
      <w:bookmarkStart w:id="1" w:name="END_IS_ZERO_06_2"/>
      <w:bookmarkEnd w:id="1"/>
      <w:bookmarkStart w:id="2" w:name="DIS_MARK_IS_ZERO_06_2"/>
      <w:bookmarkEnd w:id="2"/>
      <w:bookmarkStart w:id="3" w:name="END_IS_ZERO_06_1"/>
      <w:bookmarkEnd w:id="3"/>
      <w:bookmarkStart w:id="4" w:name="START_IS_ZERO_06_2"/>
      <w:bookmarkEnd w:id="4"/>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（三）一般性支出情况：</w:t>
      </w:r>
      <w:r>
        <w:rPr>
          <w:rFonts w:hint="eastAsia" w:ascii="仿宋_GB2312" w:hAnsi="仿宋_GB2312" w:eastAsia="仿宋_GB2312" w:cs="仿宋_GB2312"/>
          <w:color w:val="000000"/>
          <w:kern w:val="2"/>
          <w:sz w:val="32"/>
          <w:szCs w:val="32"/>
          <w:shd w:val="clear" w:color="auto" w:fill="FFFFFF"/>
          <w:lang w:val="en-US" w:eastAsia="zh-CN" w:bidi="ar-SA"/>
        </w:rPr>
        <w:t>2024年本部门会议费预算0万元，拟召开0次会议，人数0人；培训费预算0万元，拟开展0次培训，人数0人；2024年度本部门未计划举办节庆、晚会、论坛、赛事活动。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（四）政府采购情况：</w:t>
      </w:r>
      <w:r>
        <w:rPr>
          <w:rFonts w:hint="eastAsia" w:ascii="仿宋_GB2312" w:hAnsi="仿宋_GB2312" w:eastAsia="仿宋_GB2312" w:cs="仿宋_GB2312"/>
          <w:color w:val="000000"/>
          <w:kern w:val="2"/>
          <w:sz w:val="32"/>
          <w:szCs w:val="32"/>
          <w:shd w:val="clear" w:color="auto" w:fill="FFFFFF"/>
          <w:lang w:val="en-US" w:eastAsia="zh-CN" w:bidi="ar-SA"/>
        </w:rPr>
        <w:t>2024年本部门政府采购预算总额72.8万元，其中，货物类采购预算32.8万元；工程类采购预算0万元；服务类采购预算40万元。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（五）国有资产占用使用及新增资产配置情况：</w:t>
      </w:r>
      <w:r>
        <w:rPr>
          <w:rFonts w:hint="eastAsia" w:ascii="仿宋_GB2312" w:hAnsi="仿宋_GB2312" w:eastAsia="仿宋_GB2312" w:cs="仿宋_GB2312"/>
          <w:color w:val="000000"/>
          <w:kern w:val="2"/>
          <w:sz w:val="32"/>
          <w:szCs w:val="32"/>
          <w:shd w:val="clear" w:color="auto" w:fill="FFFFFF"/>
          <w:lang w:val="en-US" w:eastAsia="zh-CN" w:bidi="ar-SA"/>
        </w:rPr>
        <w:t>截至2023年12月底，本部门共有公务用车0辆，其中，机要通信用车0辆，应急保障用车0辆，执法执勤用车0辆，特种专业技术用车0辆，其他按照规定配备的公务用车0辆；单位价值50万元以上设备0台，其中，单位价值100万元以上设备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firstLine="640" w:firstLineChars="200"/>
        <w:jc w:val="both"/>
        <w:textAlignment w:val="center"/>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2024年拟新增配置公务用车0辆，其中，机要通信用车0辆，应急保障用车0辆，执法执勤用</w:t>
      </w:r>
      <w:r>
        <w:rPr>
          <w:rFonts w:hint="eastAsia" w:ascii="仿宋_GB2312" w:hAnsi="仿宋_GB2312" w:eastAsia="仿宋_GB2312" w:cs="仿宋_GB2312"/>
          <w:color w:val="000000"/>
          <w:kern w:val="2"/>
          <w:sz w:val="32"/>
          <w:szCs w:val="32"/>
          <w:highlight w:val="none"/>
          <w:shd w:val="clear" w:color="auto" w:fill="FFFFFF"/>
          <w:lang w:val="en-US" w:eastAsia="zh-CN" w:bidi="ar-SA"/>
        </w:rPr>
        <w:t>车0辆，特种专业技术用车0辆，其他按照规定配备的公务用车0辆；新增配备单位价值50万元以上设备0台，其中，单位价值100万元以上设备0台。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highlight w:val="none"/>
          <w:shd w:val="clear" w:color="auto" w:fill="FFFFFF"/>
          <w:lang w:val="en-US" w:eastAsia="zh-CN" w:bidi="ar-SA"/>
        </w:rPr>
        <w:t>（六）预算绩效目标说明：</w:t>
      </w:r>
      <w:r>
        <w:rPr>
          <w:rFonts w:hint="eastAsia" w:ascii="仿宋_GB2312" w:hAnsi="仿宋_GB2312" w:eastAsia="仿宋_GB2312" w:cs="仿宋_GB2312"/>
          <w:color w:val="000000"/>
          <w:kern w:val="2"/>
          <w:sz w:val="32"/>
          <w:szCs w:val="32"/>
          <w:highlight w:val="none"/>
          <w:shd w:val="clear" w:color="auto" w:fill="FFFFFF"/>
          <w:lang w:val="en-US" w:eastAsia="zh-CN" w:bidi="ar-SA"/>
        </w:rPr>
        <w:t>本部门所有支出实行绩效目标管理。纳入2024年部门整体支出绩效目标的金额为281.98万元，其中，基本支出180.98万元，项目支出101万元，具体绩效目标详见文尾附表中部门预算公开表21-22表</w:t>
      </w:r>
      <w:r>
        <w:rPr>
          <w:rFonts w:hint="eastAsia" w:ascii="仿宋_GB2312" w:hAnsi="仿宋_GB2312" w:eastAsia="仿宋_GB2312" w:cs="仿宋_GB2312"/>
          <w:color w:val="000000"/>
          <w:kern w:val="2"/>
          <w:sz w:val="32"/>
          <w:szCs w:val="32"/>
          <w:shd w:val="clear" w:color="auto" w:fill="FFFFFF"/>
          <w:lang w:val="en-US" w:eastAsia="zh-CN" w:bidi="ar-SA"/>
        </w:rPr>
        <w:t>。</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1．机关运行经费：</w:t>
      </w:r>
      <w:r>
        <w:rPr>
          <w:rFonts w:hint="eastAsia" w:ascii="仿宋_GB2312" w:hAnsi="仿宋_GB2312" w:eastAsia="仿宋_GB2312" w:cs="仿宋_GB2312"/>
          <w:color w:val="000000"/>
          <w:kern w:val="2"/>
          <w:sz w:val="32"/>
          <w:szCs w:val="32"/>
          <w:shd w:val="clear" w:color="auto" w:fill="FFFFFF"/>
          <w:lang w:val="en-US" w:eastAsia="zh-CN" w:bidi="ar-SA"/>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2．“三公”经费：</w:t>
      </w:r>
      <w:r>
        <w:rPr>
          <w:rFonts w:hint="eastAsia" w:ascii="仿宋_GB2312" w:hAnsi="仿宋_GB2312" w:eastAsia="仿宋_GB2312" w:cs="仿宋_GB2312"/>
          <w:color w:val="000000"/>
          <w:kern w:val="2"/>
          <w:sz w:val="32"/>
          <w:szCs w:val="32"/>
          <w:shd w:val="clear" w:color="auto" w:fill="FFFFFF"/>
          <w:lang w:val="en-US" w:eastAsia="zh-CN" w:bidi="ar-SA"/>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ind w:firstLine="1084" w:firstLineChars="300"/>
        <w:jc w:val="both"/>
        <w:rPr>
          <w:rFonts w:hint="eastAsia" w:ascii="方正小标宋简体" w:hAnsi="Times New Roman" w:eastAsia="方正小标宋简体" w:cs="Times New Roman"/>
          <w:b/>
          <w:bCs/>
          <w:kern w:val="0"/>
          <w:sz w:val="36"/>
          <w:szCs w:val="36"/>
        </w:rPr>
      </w:pPr>
      <w:r>
        <w:rPr>
          <w:rFonts w:hint="eastAsia" w:ascii="方正小标宋简体" w:hAnsi="Times New Roman" w:eastAsia="方正小标宋简体" w:cs="Times New Roman"/>
          <w:b/>
          <w:bCs/>
          <w:kern w:val="0"/>
          <w:sz w:val="36"/>
          <w:szCs w:val="36"/>
        </w:rPr>
        <w:t>第二部分  2024年部门预算公开表格</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附件：岳阳市君山区科技和工业信息化局2024年部门预算公开表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1038EA"/>
    <w:multiLevelType w:val="singleLevel"/>
    <w:tmpl w:val="511038E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MzkxYTllNGUzYWMwZmMyNjFiNTViYzNiYzdlYTAifQ=="/>
  </w:docVars>
  <w:rsids>
    <w:rsidRoot w:val="637274E6"/>
    <w:rsid w:val="011D522D"/>
    <w:rsid w:val="0992531D"/>
    <w:rsid w:val="0A0D382D"/>
    <w:rsid w:val="0B2D781A"/>
    <w:rsid w:val="0B3A3EBE"/>
    <w:rsid w:val="0D8D68F1"/>
    <w:rsid w:val="0E4B58DB"/>
    <w:rsid w:val="0ED939EE"/>
    <w:rsid w:val="0F1663CA"/>
    <w:rsid w:val="13385187"/>
    <w:rsid w:val="167C1082"/>
    <w:rsid w:val="16B94831"/>
    <w:rsid w:val="1B156429"/>
    <w:rsid w:val="1C744CBF"/>
    <w:rsid w:val="200307FA"/>
    <w:rsid w:val="20A420AE"/>
    <w:rsid w:val="213E1D14"/>
    <w:rsid w:val="22CB72A5"/>
    <w:rsid w:val="230C7214"/>
    <w:rsid w:val="264178B0"/>
    <w:rsid w:val="29EC6874"/>
    <w:rsid w:val="2A201F8D"/>
    <w:rsid w:val="2BF01473"/>
    <w:rsid w:val="2D6329A9"/>
    <w:rsid w:val="2EF502C5"/>
    <w:rsid w:val="305B1762"/>
    <w:rsid w:val="305B3D34"/>
    <w:rsid w:val="305C2E10"/>
    <w:rsid w:val="324A2389"/>
    <w:rsid w:val="328F1D91"/>
    <w:rsid w:val="32982A78"/>
    <w:rsid w:val="32C66482"/>
    <w:rsid w:val="35683252"/>
    <w:rsid w:val="35D63F1B"/>
    <w:rsid w:val="361C522A"/>
    <w:rsid w:val="36BE748E"/>
    <w:rsid w:val="372419C7"/>
    <w:rsid w:val="37E51496"/>
    <w:rsid w:val="38C2711D"/>
    <w:rsid w:val="3951638D"/>
    <w:rsid w:val="3A242018"/>
    <w:rsid w:val="3AB26D1E"/>
    <w:rsid w:val="3BDE696C"/>
    <w:rsid w:val="3F116709"/>
    <w:rsid w:val="3F150D8C"/>
    <w:rsid w:val="403F2E01"/>
    <w:rsid w:val="44C24001"/>
    <w:rsid w:val="4555609A"/>
    <w:rsid w:val="477D2077"/>
    <w:rsid w:val="47E411CF"/>
    <w:rsid w:val="490966A2"/>
    <w:rsid w:val="49B605D8"/>
    <w:rsid w:val="4AD36F68"/>
    <w:rsid w:val="4ADD73C0"/>
    <w:rsid w:val="4B5C3CB2"/>
    <w:rsid w:val="4BC03402"/>
    <w:rsid w:val="4DBF1A26"/>
    <w:rsid w:val="4EE728E7"/>
    <w:rsid w:val="51066F16"/>
    <w:rsid w:val="51B004D2"/>
    <w:rsid w:val="52241F08"/>
    <w:rsid w:val="54244912"/>
    <w:rsid w:val="56301712"/>
    <w:rsid w:val="574216FD"/>
    <w:rsid w:val="576A0C54"/>
    <w:rsid w:val="58A12453"/>
    <w:rsid w:val="5A380B96"/>
    <w:rsid w:val="5B3146E3"/>
    <w:rsid w:val="5D647EF4"/>
    <w:rsid w:val="5DE306BB"/>
    <w:rsid w:val="5F3F29C6"/>
    <w:rsid w:val="637274E6"/>
    <w:rsid w:val="63894210"/>
    <w:rsid w:val="64C7681D"/>
    <w:rsid w:val="662F72F1"/>
    <w:rsid w:val="66B263EF"/>
    <w:rsid w:val="6B49147A"/>
    <w:rsid w:val="6C0749A4"/>
    <w:rsid w:val="6C5E2742"/>
    <w:rsid w:val="6CB542C8"/>
    <w:rsid w:val="6CC62031"/>
    <w:rsid w:val="70AE175A"/>
    <w:rsid w:val="721F6E5B"/>
    <w:rsid w:val="72860C2E"/>
    <w:rsid w:val="728C4B01"/>
    <w:rsid w:val="729A1F96"/>
    <w:rsid w:val="739C7F8F"/>
    <w:rsid w:val="73BE1EBD"/>
    <w:rsid w:val="78CC0C1A"/>
    <w:rsid w:val="791A5BDE"/>
    <w:rsid w:val="7AFB04E9"/>
    <w:rsid w:val="7B7538C8"/>
    <w:rsid w:val="7C9338B5"/>
    <w:rsid w:val="7EBE52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page number"/>
    <w:qFormat/>
    <w:uiPriority w:val="0"/>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4" Type="http://schemas.microsoft.com/office/2011/relationships/chartColorStyle" Target="colors1.xml"/><Relationship Id="rId3" Type="http://schemas.microsoft.com/office/2011/relationships/chartStyle" Target="style1.xml"/><Relationship Id="rId2" Type="http://schemas.openxmlformats.org/officeDocument/2006/relationships/themeOverride" Target="../theme/themeOverride1.xml"/><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0" vertOverflow="ellipsis" vert="horz" wrap="square" anchor="ctr" anchorCtr="1" forceAA="0"/>
          <a:lstStyle/>
          <a:p>
            <a:pPr defTabSz="914400">
              <a:defRPr lang="zh-CN" sz="1400" b="0" i="0" u="none" strike="noStrike" kern="1200" spc="0" baseline="0">
                <a:solidFill>
                  <a:schemeClr val="tx1"/>
                </a:solidFill>
                <a:latin typeface="+mn-lt"/>
                <a:ea typeface="+mn-ea"/>
                <a:cs typeface="+mn-cs"/>
              </a:defRPr>
            </a:pPr>
            <a:r>
              <a:t>支出预算图</a:t>
            </a:r>
          </a:p>
        </c:rich>
      </c:tx>
      <c:layout/>
      <c:overlay val="0"/>
      <c:spPr>
        <a:noFill/>
        <a:ln>
          <a:noFill/>
        </a:ln>
        <a:effectLst/>
      </c:spPr>
    </c:title>
    <c:autoTitleDeleted val="0"/>
    <c:plotArea>
      <c:layout/>
      <c:pieChart>
        <c:varyColors val="1"/>
        <c:ser>
          <c:idx val="0"/>
          <c:order val="0"/>
          <c:tx>
            <c:strRef>
              <c:f>Sheet1!$B$1</c:f>
              <c:strCache>
                <c:ptCount val="1"/>
                <c:pt idx="0">
                  <c:v>支出预算图</c:v>
                </c:pt>
              </c:strCache>
            </c:strRef>
          </c:tx>
          <c:spPr/>
          <c:explosion val="0"/>
          <c:dPt>
            <c:idx val="0"/>
            <c:bubble3D val="0"/>
            <c:explosion val="0"/>
            <c:spPr>
              <a:solidFill>
                <a:srgbClr val="BBE0E3"/>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2"/>
              <c:layout>
                <c:manualLayout>
                  <c:x val="0.00821138834020277"/>
                  <c:y val="0.110639731696695"/>
                </c:manualLayout>
              </c:layout>
              <c:dLblPos val="bestFit"/>
              <c:showLegendKey val="0"/>
              <c:showVal val="0"/>
              <c:showCatName val="0"/>
              <c:showSerName val="0"/>
              <c:showPercent val="1"/>
              <c:showBubbleSize val="0"/>
              <c:extLst>
                <c:ext xmlns:c15="http://schemas.microsoft.com/office/drawing/2012/chart" uri="{CE6537A1-D6FC-4f65-9D91-7224C49458BB}">
                  <c15:layout/>
                </c:ext>
              </c:extLst>
            </c:dLbl>
            <c:numFmt formatCode="0.00%" sourceLinked="0"/>
            <c:spPr>
              <a:noFill/>
              <a:ln>
                <a:noFill/>
              </a:ln>
              <a:effectLst/>
            </c:spPr>
            <c:txPr>
              <a:bodyPr rot="0" spcFirstLastPara="0" vertOverflow="ellipsis" vert="horz" wrap="square" lIns="38100" tIns="19050" rIns="38100" bIns="19050" anchor="ctr" anchorCtr="1" forceAA="0"/>
              <a:lstStyle/>
              <a:p>
                <a:pPr>
                  <a:defRPr lang="zh-CN" sz="1000" b="1" i="0" u="none" strike="noStrike" kern="1200" baseline="0">
                    <a:solidFill>
                      <a:schemeClr val="bg1"/>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科学技术支出</c:v>
                </c:pt>
                <c:pt idx="1">
                  <c:v>社会保障和就业支出</c:v>
                </c:pt>
                <c:pt idx="2">
                  <c:v>卫生健康支出</c:v>
                </c:pt>
                <c:pt idx="3">
                  <c:v>住房保障支出</c:v>
                </c:pt>
              </c:strCache>
            </c:strRef>
          </c:cat>
          <c:val>
            <c:numRef>
              <c:f>Sheet1!$B$2:$B$5</c:f>
              <c:numCache>
                <c:formatCode>0.00%</c:formatCode>
                <c:ptCount val="4"/>
                <c:pt idx="0">
                  <c:v>0.7342</c:v>
                </c:pt>
                <c:pt idx="1">
                  <c:v>0.2003</c:v>
                </c:pt>
                <c:pt idx="2">
                  <c:v>0.0274</c:v>
                </c:pt>
                <c:pt idx="3">
                  <c:v>0.0381</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forceAA="0"/>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word/theme/themeOverride1.xml><?xml version="1.0" encoding="utf-8"?>
<a:themeOverride xmlns:a="http://schemas.openxmlformats.org/drawingml/2006/main">
  <a:clrScheme name="自定义 754">
    <a:dk1>
      <a:srgbClr val="000000"/>
    </a:dk1>
    <a:lt1>
      <a:srgbClr val="FFFFFF"/>
    </a:lt1>
    <a:dk2>
      <a:srgbClr val="0C0E1F"/>
    </a:dk2>
    <a:lt2>
      <a:srgbClr val="FEFFFF"/>
    </a:lt2>
    <a:accent1>
      <a:srgbClr val="04CD9E"/>
    </a:accent1>
    <a:accent2>
      <a:srgbClr val="80E214"/>
    </a:accent2>
    <a:accent3>
      <a:srgbClr val="119FBE"/>
    </a:accent3>
    <a:accent4>
      <a:srgbClr val="EBC279"/>
    </a:accent4>
    <a:accent5>
      <a:srgbClr val="F95F5F"/>
    </a:accent5>
    <a:accent6>
      <a:srgbClr val="A15CFF"/>
    </a:accent6>
    <a:hlink>
      <a:srgbClr val="304FFE"/>
    </a:hlink>
    <a:folHlink>
      <a:srgbClr val="492067"/>
    </a:folHlink>
  </a:clrScheme>
  <a:fontScheme name="自定义 2">
    <a:majorFont>
      <a:latin typeface="微软雅黑"/>
      <a:ea typeface="微软雅黑"/>
      <a:cs typeface=""/>
    </a:majorFont>
    <a:minorFont>
      <a:latin typeface="微软雅黑"/>
      <a:ea typeface="微软雅黑"/>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4384</Words>
  <Characters>4675</Characters>
  <Lines>0</Lines>
  <Paragraphs>0</Paragraphs>
  <TotalTime>2</TotalTime>
  <ScaleCrop>false</ScaleCrop>
  <LinksUpToDate>false</LinksUpToDate>
  <CharactersWithSpaces>4688</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2024-06-22T04:12:03Z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162E544386AE4D92BF8D6E0D87531EEF_13</vt:lpwstr>
  </property>
</Properties>
</file>