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岳阳市君山区经济研究中心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部门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1、负责起草《政府工作报告》和区政府主要领导同志重要讲话、报告等文稿；审修部门起草的区政府主要领导同志在全区有关会议上的讲话文稿。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2、负责或参与起草区政府向市委、市政府的重要汇报材料；组织和协同有关方面起草、修改区政府有关重要综合性文件；参与起草区委、区政府有关重要会议文件。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3、对涉及全区经济建设、社会发展和改革开放等全局性工作的重大课题组织调查研究，及时综合归纳，提出供区政府决策的参考方案和政策性建议。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4、对区内外经济形势和社会发展政策进行分析和研究，提出政策建议。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5、收集、整理全区政务信息，及时向市政府研究室上报；收集、分析、整理和报送经济社会发展重要信息、动态，为区政府决策提供参考建议。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6、负责全区政府系统的情况综合、调查研究和信息工作指导。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7、编发《政府通报》和其他有关信息资料。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8、根据区政府委托，组织督促政府相关部门办理区人大、区政协交区政府的人大代表建议和政协委员提案。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9、完成区委、区政府交办的其他任务。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 xml:space="preserve">区经济研究中心设4个内设机构，分别是办公室、文稿室、调研室、信息室。区经济研究中心全额拨款事业编制7名。设主任1名，副主任2名，现有在编在岗人员7人。    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</w:rPr>
        <w:t>岳阳市君山区经济研究中心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只有本级，没有其他二级预算单位，因此，纳入2024年部门预算编制范围的只有</w:t>
      </w:r>
      <w:r>
        <w:rPr>
          <w:rFonts w:hint="eastAsia" w:eastAsia="仿宋_GB2312"/>
          <w:sz w:val="32"/>
          <w:szCs w:val="32"/>
        </w:rPr>
        <w:t>岳阳市君山区经济研究中心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本级。</w:t>
      </w:r>
      <w:bookmarkEnd w:id="0"/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包括一般公共预算、政府性基金、国有资本经营预算等财政拨款收入，以及经营收入、事业收入等单位资金。2024年本单位收入预算105.17万元，其中，一般公共预算拨款105.17万元，政府性基金预算资金0.00万元(所以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部门预算公开表15-17表为空)，国有资本经营预算资金0.00万元(所以部门预算公开表18表为空)，财政专户管理资金0.00万元(所以部门预算公开表19表为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空)，上级补助收入资金0.00万元，事业单位经营收入资金0.00万元，上年结转结余0.00万元。收入较上年增加12.94万元，上升14.03%。主要原因是2024年增加了一名工作人员，从而导致工资福利支出及商品服务支出增加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570" w:lineRule="atLeast"/>
        <w:ind w:left="0" w:leftChars="0"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支出预算105.17万元，其中：一般公共服务支出84.88万元，社会保障和就业支出9.4万元，卫生健康支出3.99万元，住房保障支出6.9万元。支出较上年增加12.94万元，上升14.03%。主要原因是2024年增加了一名工作人员，从而导致工资福利支出及商品服务支出增加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5273040" cy="3053080"/>
            <wp:effectExtent l="4445" t="4445" r="18415" b="9525"/>
            <wp:docPr id="1" name="图表 1" descr="7b0a202020202263686172745265734964223a20223230343730393037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一般公共预算拨款支出105.17万元，其中：一般公共服务支出84.88万元，占80.71%；社会保障和就业支出9.4万元，占8.94%；卫生健康支出3.99万元，占3.79%；住房保障支出6.9万元，占6.56%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2024年本单位基本支出预算数90.37万元，主要是为保障单位正常运转、完成日常工作任务而发生的各项支出，包括用于基本工资、津贴补贴等人员经费以及办公费、印刷费、水电费、办公设备购置等公用经费。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项目支出预算14.8万元，主要是本单位为完成特定工作任务或事业发展目标而发生的支出，包括业务工作经费支出、运行维护经费等，其中：一般公共服务支出14.8万元，主要用于调查研究经费、编印《政府通报》、办理建议、提案工作及学习培训等工作经费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五、政府性基金预算支出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六、其他重要事项的情况说明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2024年区经济研究中心机关运行经费12.6万元，比上年预算上升2.11%。主要原因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增加了一名工作人员，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成公用经费预算支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出增加。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“三公”经费预算数为1万元，其中，公务接待费1万元，公务用车购置及运行费0万元（其中，公务用车购置费0万元，公务用车运行费0万元），因公出国（境）费0万元。2024年“三公”经费预算与2023年持平，主要原因是主要是严格落实中央“八项规定”精神和“过紧日子”的要求，从严控制“三公”经费支出。</w:t>
      </w:r>
      <w:bookmarkStart w:id="1" w:name="START_IS_ZERO_06_2"/>
      <w:bookmarkEnd w:id="1"/>
      <w:bookmarkStart w:id="2" w:name="END_IS_ZERO_06_1"/>
      <w:bookmarkEnd w:id="2"/>
      <w:bookmarkStart w:id="3" w:name="DIS_MARK_IS_ZERO_06_2"/>
      <w:bookmarkEnd w:id="3"/>
      <w:bookmarkStart w:id="4" w:name="END_IS_ZERO_06_2"/>
      <w:bookmarkEnd w:id="4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2024年本单位会议费预算1万元，拟召开三等3次会议，人数50人，内容为调查研究工作部署等；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培训费预算0万元，拟开展0次培训，人数0人；2024年度本部门未计划举办节庆、晚会、论坛、赛事活动，经费预算0万元。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2024年本单位政府采购预算总额8万元，其中，货物类采购预算2万元；工程类采购预算0万元；服务类采购预算6万元。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本单位所有支出实行绩效目标管理。纳入2024年单位整体支出绩效目标的金额为105.17万元，其中，基本支出90.37万元，项目支出14.8万元，具体绩效目标详见文尾附表中部门预算公开表21-22表。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七、名词解释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1、收支总表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2、收入总表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3、支出总表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4、支出预算分类汇总表（按政府预算经济分类）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5、支出预算分类汇总表（按部门预算经济分类）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6、财政拨款收支总表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7、一般公共预算支出表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14、一般公共预算“三公”经费支出表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15、政府性基金预算支出表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16、政府性基金预算支出分类汇总表（按政府预算经济分类）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17、政府性基金预算支出分类汇总表（按部门预算经济分类）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18、国有资本经营预算支出表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19、财政专户管理资金预算支出表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20、专项资金预算汇总表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21、项目支出绩效目标表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22、部门整体支出绩效目标表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23、一般公共预算基本支出表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注：以上部门预算公开报表中，空表表示本单位无相关收支情况。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附件：岳阳市君山区经济研究中心2024年部门预算公开表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1OWIzYzk1MWM3N2I3MjEzZjQ5NzNmYzQ5ZWNlZGYifQ=="/>
  </w:docVars>
  <w:rsids>
    <w:rsidRoot w:val="637274E6"/>
    <w:rsid w:val="01EC3E90"/>
    <w:rsid w:val="02140C7A"/>
    <w:rsid w:val="046523F8"/>
    <w:rsid w:val="088363E7"/>
    <w:rsid w:val="0AD8381E"/>
    <w:rsid w:val="0B172D74"/>
    <w:rsid w:val="0B5218A1"/>
    <w:rsid w:val="0B653E82"/>
    <w:rsid w:val="0E042561"/>
    <w:rsid w:val="0F2A3A2C"/>
    <w:rsid w:val="10797237"/>
    <w:rsid w:val="146938CB"/>
    <w:rsid w:val="16042156"/>
    <w:rsid w:val="16247C45"/>
    <w:rsid w:val="167C1082"/>
    <w:rsid w:val="192632E6"/>
    <w:rsid w:val="1B6F1962"/>
    <w:rsid w:val="1C744CBF"/>
    <w:rsid w:val="1C914169"/>
    <w:rsid w:val="1F572E39"/>
    <w:rsid w:val="1F8154A2"/>
    <w:rsid w:val="20034AD4"/>
    <w:rsid w:val="22767EB0"/>
    <w:rsid w:val="22861ED8"/>
    <w:rsid w:val="264B2BB2"/>
    <w:rsid w:val="27562CA6"/>
    <w:rsid w:val="286F1B1C"/>
    <w:rsid w:val="28D728F5"/>
    <w:rsid w:val="292A7283"/>
    <w:rsid w:val="2A5727A7"/>
    <w:rsid w:val="2B3247EE"/>
    <w:rsid w:val="2DC518B5"/>
    <w:rsid w:val="2E9372BE"/>
    <w:rsid w:val="30F54535"/>
    <w:rsid w:val="328F1D91"/>
    <w:rsid w:val="36214EDF"/>
    <w:rsid w:val="387179BA"/>
    <w:rsid w:val="395E7E49"/>
    <w:rsid w:val="398C704B"/>
    <w:rsid w:val="3A486D41"/>
    <w:rsid w:val="3CB10683"/>
    <w:rsid w:val="3E4B1963"/>
    <w:rsid w:val="404A1A7E"/>
    <w:rsid w:val="40731651"/>
    <w:rsid w:val="40BA4B7E"/>
    <w:rsid w:val="42E3660E"/>
    <w:rsid w:val="440F654E"/>
    <w:rsid w:val="4601059C"/>
    <w:rsid w:val="4602087F"/>
    <w:rsid w:val="462811DE"/>
    <w:rsid w:val="4748485A"/>
    <w:rsid w:val="4AFC64BF"/>
    <w:rsid w:val="4BBE358A"/>
    <w:rsid w:val="4CD367EB"/>
    <w:rsid w:val="4E514D65"/>
    <w:rsid w:val="4EE728E7"/>
    <w:rsid w:val="4F0307B2"/>
    <w:rsid w:val="4F302902"/>
    <w:rsid w:val="52077AEA"/>
    <w:rsid w:val="55E76771"/>
    <w:rsid w:val="58AA6296"/>
    <w:rsid w:val="58AF2EC0"/>
    <w:rsid w:val="5A13112F"/>
    <w:rsid w:val="5BC30933"/>
    <w:rsid w:val="5DC12353"/>
    <w:rsid w:val="605E59A3"/>
    <w:rsid w:val="60B42209"/>
    <w:rsid w:val="637274E6"/>
    <w:rsid w:val="63E65795"/>
    <w:rsid w:val="6526487B"/>
    <w:rsid w:val="65B57FA7"/>
    <w:rsid w:val="675A13CF"/>
    <w:rsid w:val="682C3048"/>
    <w:rsid w:val="6B1B73BC"/>
    <w:rsid w:val="6B470F20"/>
    <w:rsid w:val="6D334A92"/>
    <w:rsid w:val="6F4B168B"/>
    <w:rsid w:val="70515CB8"/>
    <w:rsid w:val="70F118E0"/>
    <w:rsid w:val="71704C61"/>
    <w:rsid w:val="719F6C19"/>
    <w:rsid w:val="74880A7B"/>
    <w:rsid w:val="78CC0C1A"/>
    <w:rsid w:val="7AE949AB"/>
    <w:rsid w:val="7D266D66"/>
    <w:rsid w:val="7E7E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4" Type="http://schemas.microsoft.com/office/2011/relationships/chartColorStyle" Target="colors1.xml"/><Relationship Id="rId3" Type="http://schemas.microsoft.com/office/2011/relationships/chartStyle" Target="style1.xml"/><Relationship Id="rId2" Type="http://schemas.openxmlformats.org/officeDocument/2006/relationships/themeOverride" Target="../theme/themeOverride1.xml"/><Relationship Id="rId1" Type="http://schemas.openxmlformats.org/officeDocument/2006/relationships/package" Target="../embeddings/Workbook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销售额</c:v>
                </c:pt>
              </c:strCache>
            </c:strRef>
          </c:tx>
          <c:spPr>
            <a:effectLst>
              <a:outerShdw blurRad="63500" sx="102000" sy="102000" algn="ctr" rotWithShape="0">
                <a:prstClr val="black">
                  <a:alpha val="30000"/>
                </a:prstClr>
              </a:outerShdw>
            </a:effectLst>
          </c:spPr>
          <c:explosion val="0"/>
          <c:dPt>
            <c:idx val="0"/>
            <c:bubble3D val="0"/>
            <c:spPr>
              <a:solidFill>
                <a:srgbClr val="D9EDEE">
                  <a:lumMod val="50000"/>
                </a:srgbClr>
              </a:solidFill>
              <a:ln w="19050">
                <a:solidFill>
                  <a:schemeClr val="lt1"/>
                </a:solidFill>
              </a:ln>
              <a:effectLst>
                <a:outerShdw blurRad="63500" sx="102000" sy="102000" algn="ctr" rotWithShape="0">
                  <a:prstClr val="black">
                    <a:alpha val="30000"/>
                  </a:prstClr>
                </a:outerShdw>
              </a:effectLst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>
                <a:outerShdw blurRad="63500" sx="102000" sy="102000" algn="ctr" rotWithShape="0">
                  <a:prstClr val="black">
                    <a:alpha val="30000"/>
                  </a:prstClr>
                </a:outerShdw>
              </a:effectLst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>
                <a:outerShdw blurRad="63500" sx="102000" sy="102000" algn="ctr" rotWithShape="0">
                  <a:prstClr val="black">
                    <a:alpha val="30000"/>
                  </a:prstClr>
                </a:outerShdw>
              </a:effectLst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>
                <a:outerShdw blurRad="63500" sx="102000" sy="102000" algn="ctr" rotWithShape="0">
                  <a:prstClr val="black">
                    <a:alpha val="30000"/>
                  </a:prstClr>
                </a:outerShdw>
              </a:effectLst>
            </c:spPr>
          </c:dPt>
          <c:dLbls>
            <c:dLbl>
              <c:idx val="2"/>
              <c:layout>
                <c:manualLayout>
                  <c:x val="0.039196890383617"/>
                  <c:y val="0.100377656625416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0160965593263814"/>
                  <c:y val="0.0919668314692147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一般公共支出</c:v>
                </c:pt>
                <c:pt idx="1">
                  <c:v>社会保障和就业支出</c:v>
                </c:pt>
                <c:pt idx="2">
                  <c:v>卫生健康支出</c:v>
                </c:pt>
                <c:pt idx="3">
                  <c:v>住房保障支出</c:v>
                </c:pt>
              </c:strCache>
            </c:strRef>
          </c:cat>
          <c:val>
            <c:numRef>
              <c:f>Sheet1!$B$2:$B$5</c:f>
              <c:numCache>
                <c:formatCode>0.00%</c:formatCode>
                <c:ptCount val="4"/>
                <c:pt idx="0">
                  <c:v>0.8071</c:v>
                </c:pt>
                <c:pt idx="1">
                  <c:v>0.0894</c:v>
                </c:pt>
                <c:pt idx="2">
                  <c:v>0.0379</c:v>
                </c:pt>
                <c:pt idx="3">
                  <c:v>0.0656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754">
    <a:dk1>
      <a:srgbClr val="000000"/>
    </a:dk1>
    <a:lt1>
      <a:srgbClr val="FFFFFF"/>
    </a:lt1>
    <a:dk2>
      <a:srgbClr val="0C0E1F"/>
    </a:dk2>
    <a:lt2>
      <a:srgbClr val="FEFFFF"/>
    </a:lt2>
    <a:accent1>
      <a:srgbClr val="04CD9E"/>
    </a:accent1>
    <a:accent2>
      <a:srgbClr val="80E214"/>
    </a:accent2>
    <a:accent3>
      <a:srgbClr val="119FBE"/>
    </a:accent3>
    <a:accent4>
      <a:srgbClr val="EBC279"/>
    </a:accent4>
    <a:accent5>
      <a:srgbClr val="F95F5F"/>
    </a:accent5>
    <a:accent6>
      <a:srgbClr val="A15C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3664</Words>
  <Characters>3918</Characters>
  <Lines>0</Lines>
  <Paragraphs>0</Paragraphs>
  <TotalTime>2</TotalTime>
  <ScaleCrop>false</ScaleCrop>
  <LinksUpToDate>false</LinksUpToDate>
  <CharactersWithSpaces>3928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Mr.1.689小姐</cp:lastModifiedBy>
  <dcterms:modified xsi:type="dcterms:W3CDTF">2024-06-26T09:32:18Z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4B589B6B695C4DC7952F61D9C4C27BB6_13</vt:lpwstr>
  </property>
</Properties>
</file>