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君山区政府经济协作事务中心</w:t>
      </w:r>
    </w:p>
    <w:p>
      <w:pPr>
        <w:spacing w:line="570" w:lineRule="atLeast"/>
        <w:jc w:val="center"/>
        <w:rPr>
          <w:rFonts w:hint="eastAsia" w:ascii="黑体" w:hAnsi="黑体" w:eastAsia="黑体" w:cs="黑体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2024年部门预算公开</w:t>
      </w:r>
    </w:p>
    <w:p>
      <w:pPr>
        <w:rPr>
          <w:rFonts w:hint="eastAsia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  <w:t>目 录</w:t>
      </w:r>
    </w:p>
    <w:p>
      <w:pPr>
        <w:ind w:firstLine="643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第一部分 2024年部门预算说明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一、部门基本概况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二、部门预算单位构成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三、部门收支总体情况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四、一般公共预算拨款支出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五、政府性基金预算支出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六、其他重要事项的情况说明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七、名词解释</w:t>
      </w:r>
    </w:p>
    <w:p>
      <w:pPr>
        <w:ind w:firstLine="643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第二部分 2024年部门预算表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8、一般公共预算基本支出表-人员经费（工资福利支出）（按政府预算经济分类）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9、一般公共预算基本支出表-人员经费（工资福利支出）（按部门预算经济分类）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10、一般公共预算基本支出表-人员经费（对个人和家庭的补助）（按政府预算经济分类）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11、一般公共预算基本支出表-人员经费（对个人和家庭的补助）（按部门预算经济分类）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12、一般公共预算基本支出表-公用经费（商品和服务支出）（按政府预算经济分类）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13、一般公共预算基本支出表-公用经费（商品和服务支出）（按部门预算经济分类）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14、一般公共预算“三公”经费支出表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15、政府性基金预算支出表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18、国有资本经营预算支出表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19、财政专户管理资金预算支出表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20、专项资金预算汇总表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21、项目支出绩效目标表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22、部门整体支出绩效目标表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23、一般公共预算基本支出表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注：以上部门预算公开报表中，空表表示本部门无相关收支情况。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>
      <w:pPr>
        <w:jc w:val="center"/>
        <w:rPr>
          <w:rFonts w:hint="eastAsia" w:ascii="Times New Roman" w:hAnsi="Times New Roman" w:eastAsia="方正小标宋_GBK" w:cs="Times New Roman"/>
          <w:b/>
          <w:bCs/>
          <w:kern w:val="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/>
          <w:bCs/>
          <w:kern w:val="0"/>
          <w:sz w:val="36"/>
          <w:szCs w:val="36"/>
        </w:rPr>
        <w:t>第一部分 部门预算公开说明</w:t>
      </w:r>
    </w:p>
    <w:p>
      <w:pPr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</w:p>
    <w:p>
      <w:pPr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  <w:t>部门</w:t>
      </w: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基本概况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（一）职能职责</w:t>
      </w:r>
    </w:p>
    <w:p>
      <w:pPr>
        <w:pStyle w:val="3"/>
        <w:shd w:val="clear" w:color="auto" w:fill="FFFFFF"/>
        <w:spacing w:before="0" w:beforeAutospacing="0" w:after="0" w:afterAutospacing="0" w:line="600" w:lineRule="exact"/>
        <w:ind w:firstLine="482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1、服务全区经济建设发展大局，争资争项工作实现新突破。</w:t>
      </w:r>
    </w:p>
    <w:p>
      <w:pPr>
        <w:widowControl/>
        <w:shd w:val="clear" w:color="auto" w:fill="FFFFFF"/>
        <w:spacing w:line="600" w:lineRule="exact"/>
        <w:ind w:firstLine="482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2、服务全区中心工作，做好疫情防控工作。</w:t>
      </w:r>
    </w:p>
    <w:p>
      <w:pPr>
        <w:widowControl/>
        <w:shd w:val="clear" w:color="auto" w:fill="FFFFFF"/>
        <w:spacing w:line="600" w:lineRule="exact"/>
        <w:ind w:firstLine="482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3、配合各部门做好信访维稳工作，确保非正常上访零记录。</w:t>
      </w:r>
    </w:p>
    <w:p>
      <w:pPr>
        <w:widowControl/>
        <w:shd w:val="clear" w:color="auto" w:fill="FFFFFF"/>
        <w:spacing w:line="600" w:lineRule="exact"/>
        <w:ind w:firstLine="482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4、服务联络我区乡友，为我区发展献计献策</w:t>
      </w:r>
    </w:p>
    <w:p>
      <w:pPr>
        <w:widowControl/>
        <w:shd w:val="clear" w:color="auto" w:fill="FFFFFF"/>
        <w:spacing w:line="600" w:lineRule="exact"/>
        <w:ind w:firstLine="482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5、完成上级交办的各项工作。</w:t>
      </w:r>
    </w:p>
    <w:p>
      <w:pPr>
        <w:widowControl/>
        <w:shd w:val="clear" w:color="auto" w:fill="FFFFFF"/>
        <w:spacing w:line="600" w:lineRule="exact"/>
        <w:ind w:firstLine="482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6、及时学习传达，认真贯彻落实上级各项指示精神。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（二）机构设置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君山区政府经济协作事务中心内设机构1个，为综合部，内设编制数为5人，实有人数5人。</w:t>
      </w:r>
    </w:p>
    <w:p>
      <w:pPr>
        <w:spacing w:line="570" w:lineRule="atLeast"/>
        <w:ind w:firstLine="640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highlight w:val="none"/>
          <w:lang w:val="en-US" w:eastAsia="zh-CN"/>
        </w:rPr>
        <w:t>二、部门预算单位构成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bookmarkStart w:id="0" w:name="DEPT_COMPOSE"/>
      <w:r>
        <w:rPr>
          <w:rFonts w:eastAsia="仿宋_GB2312"/>
          <w:sz w:val="32"/>
          <w:szCs w:val="32"/>
        </w:rPr>
        <w:t>君山区政府经济协作事务中心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只有本级，没有其他二级预算单位，因此，纳入2024年部门预算编制范围的只有</w:t>
      </w:r>
      <w:r>
        <w:rPr>
          <w:rFonts w:eastAsia="仿宋_GB2312"/>
          <w:sz w:val="32"/>
          <w:szCs w:val="32"/>
        </w:rPr>
        <w:t>君山区政府经济协作事务中心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本级。</w:t>
      </w:r>
      <w:bookmarkEnd w:id="0"/>
    </w:p>
    <w:p>
      <w:pPr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highlight w:val="none"/>
          <w:lang w:val="en-US" w:eastAsia="zh-CN"/>
        </w:rPr>
        <w:t>三、部门收支总体情况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本单位2024年没有政府性基金预算拨款、国有资本经营预算收入和纳入专户管理的非税收入拨款收入，也没有使用政府性基金预算拨款、国有资本经营预算收入和纳入专户管理的非税收入拨款安排的支出，所以部门预算公开表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5、16、17、18、19表均为空。</w:t>
      </w:r>
    </w:p>
    <w:p>
      <w:pPr>
        <w:numPr>
          <w:ilvl w:val="0"/>
          <w:numId w:val="1"/>
        </w:num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收入预算：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包括一般公共预算、政府性基金、国有资本经营预算等财政拨款收入，以及经营收入、事业收入等单位资金。2024年本单位收入预算78.16万元，其中，一般公共预算拨款78.16万元，政府性基金预算资金0.00万元(所以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部门预算公开表15-17表为空)，国有资本经营预算资金0.00万元(所以部门预算公开表18表为空)，财政专户管理资金0.00万元(所以部门预算公开表19表为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空)，上级补助收入资金0.00万元，事业单位经营收入资金0.00万元，上年结转结余0.00万元。收入较上年增加0.8万元，上升1.03%。主要原因是单位人员经费调标，从而导致工资福利支出增加。</w:t>
      </w: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4886325" cy="2667000"/>
            <wp:effectExtent l="6350" t="6350" r="22225" b="12700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spacing w:line="570" w:lineRule="atLeast"/>
        <w:ind w:left="0" w:leftChars="0"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支出预算：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单位支出预算78.16万元，其中：一般公共服务支出63.07万元，社会保障和就业支出6.98万元，卫生健康支出2.99万元，住房保障支出5.12万元。支出较上年增加0.8万元，上升1.03%。主要原因是单位人员经费调标，从而导致工资福利支出增加。</w:t>
      </w: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73040" cy="3053080"/>
            <wp:effectExtent l="4445" t="4445" r="18415" b="9525"/>
            <wp:docPr id="1" name="图表 1" descr="7b0a202020202263686172745265734964223a20223230343730393037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  <w:t>四、一般公共预算拨款支出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单位一般公共预算拨款支出78.16万元，其中：一般公共服务支出63.07万元，占80.69%；社会保障和就业支出6.98万元，占8.93%；卫生健康支出2.99万元，占3.83%；住房保障支出5.12万元，占6.55%,。具体安排情况如下：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（一）基本支出：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2024年本单位基本支出预算数63.76万元，主要是为保障单位正常运转、完成日常工作任务而发生的各项支出，包括用于基本工资、津贴补贴等人员经费以及办公费、印刷费、水电费、办公设备购置等公用经费。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（二）项目支出：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单位项目支出预算14.4万元，主要是本单位为完成特定工作任务或事业发展目标而发生的支出，包括业务工作经费支出、运行维护经费等，其中：一般公共服务支出14.4万元，主要用于维稳日常工作经费等方面。</w:t>
      </w:r>
    </w:p>
    <w:p>
      <w:pPr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  <w:t>五、政府性基金预算支出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2024年度本单位无政府性基金安排的支出，所以公开的附件15-17（政府性基金预算）为空。</w:t>
      </w:r>
    </w:p>
    <w:p>
      <w:pPr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  <w:t>六、其他重要事项的情况说明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（一）机关运行经费：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</w:t>
      </w:r>
      <w:r>
        <w:rPr>
          <w:rFonts w:eastAsia="仿宋_GB2312"/>
          <w:sz w:val="32"/>
          <w:szCs w:val="32"/>
        </w:rPr>
        <w:t>君山区政府经济协作事务中心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机关运行经费6万元，比上年预算下降18.25%。主要原因厉行节约，压缩了公用经费预算支出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，造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成公用经费预算减少。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（二）“三公”经费预算：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单位“三公”经费预算数为0.9万元，其中，公务接待费0.9万元，公务用车购置及运行费0万元（其中，公务用车购置费0万元，公务用车运行费0万元），因公出国（境）费0万元。2024年“三公”经费预算较2023年减少0.1万元，主要原因是主要是严格落实中央“八项规定”精神和“过紧日子”的要求，从严控制“三公”经费支出。</w:t>
      </w:r>
      <w:bookmarkStart w:id="1" w:name="START_IS_ZERO_06_2"/>
      <w:bookmarkEnd w:id="1"/>
      <w:bookmarkStart w:id="2" w:name="END_IS_ZERO_06_2"/>
      <w:bookmarkEnd w:id="2"/>
      <w:bookmarkStart w:id="3" w:name="END_IS_ZERO_06_1"/>
      <w:bookmarkEnd w:id="3"/>
      <w:bookmarkStart w:id="4" w:name="DIS_MARK_IS_ZERO_06_2"/>
      <w:bookmarkEnd w:id="4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（三）一般性支出情况：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2024年本部门会议费预算0万元，拟召开0次会议，人数0人；培训费预算0万元，拟开展0次培训，人数0人；2024年度本部门未计划举办节庆、晚会、论坛、赛事活动，经费预算0万元。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（四）政府采购情况：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2024年本单位政府采购预算总额7万元，其中，货物类采购预算3万元；工程类采购预算0万元；服务类采购预算4万元。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（五）国有资产占用使用及新增资产配置情况：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截至2023年12月底，本部门共有公务用车0辆，其中，机要通信用车0辆，应急保障用车0辆，执法执勤用车0辆，特种专业技术用车0辆，其他按照规定配备的公务用车0辆；单位价值50万元以上设备0台，其中，单位价值100万元以上设备0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拟新增配置公务用车0辆，其中，机要通信用车0辆，应急保障用车0辆，执法执勤用车0辆，特种专业技术用车0辆，其他按照规定配备的公务用车0辆；新增配备单位价值50万元以上设备0台，其中，单位价值100万元以上设备0台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（六）预算绩效目标说明：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本单位所有支出实行绩效目标管理。纳入2024年单位整体支出绩效目标的金额为78.16万元，其中，基本支出63.76万元，项目支出14.4万元，具体绩效目标详见文尾附表中部门预算公开表21-22表。</w:t>
      </w:r>
    </w:p>
    <w:p>
      <w:pPr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  <w:t>七、名词解释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1．机关运行经费：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2．“三公”经费：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支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  <w:bookmarkStart w:id="5" w:name="_GoBack"/>
      <w:bookmarkEnd w:id="5"/>
      <w:r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  <w:t>第二部分  2024年部门预算公开表格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1、收支总表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2、收入总表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3、支出总表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4、支出预算分类汇总表（按政府预算经济分类）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5、支出预算分类汇总表（按部门预算经济分类）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6、财政拨款收支总表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7、一般公共预算支出表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8、一般公共预算基本支出表-人员经费（工资福利支出）（按政府预算经济分类）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9、一般公共预算基本支出表-人员经费（工资福利支出）（按部门预算经济分类）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10、一般公共预算基本支出表-人员经费（对个人和家庭的补助）（按政府预算经济分类）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11、一般公共预算基本支出表-人员经费（对个人和家庭的补助）（按部门预算经济分类）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12、一般公共预算基本支出表-公用经费（商品和服务支出）（按政府预算经济分类）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13、一般公共预算基本支出表-公用经费（商品和服务支出）（按部门预算经济分类）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14、一般公共预算“三公”经费支出表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15、政府性基金预算支出表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16、政府性基金预算支出分类汇总表（按政府预算经济分类）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17、政府性基金预算支出分类汇总表（按部门预算经济分类）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18、国有资本经营预算支出表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19、财政专户管理资金预算支出表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20、专项资金预算汇总表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21、项目支出绩效目标表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22、部门整体支出绩效目标表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23、一般公共预算基本支出表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注：以上部门预算公开报表中，空表表示本单位无相关收支情况。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附件：君山区政府经济协作事务中心2024年部门预算公开表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CC3CBB"/>
    <w:multiLevelType w:val="singleLevel"/>
    <w:tmpl w:val="57CC3CB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zkxYTllNGUzYWMwZmMyNjFiNTViYzNiYzdlYTAifQ=="/>
  </w:docVars>
  <w:rsids>
    <w:rsidRoot w:val="637274E6"/>
    <w:rsid w:val="001F23E7"/>
    <w:rsid w:val="01EC3E90"/>
    <w:rsid w:val="02140C7A"/>
    <w:rsid w:val="046523F8"/>
    <w:rsid w:val="088363E7"/>
    <w:rsid w:val="08A41877"/>
    <w:rsid w:val="0AD8381E"/>
    <w:rsid w:val="0B172D74"/>
    <w:rsid w:val="0B5218A1"/>
    <w:rsid w:val="0B653E82"/>
    <w:rsid w:val="0E042561"/>
    <w:rsid w:val="0F2A3A2C"/>
    <w:rsid w:val="10797237"/>
    <w:rsid w:val="16042156"/>
    <w:rsid w:val="16247C45"/>
    <w:rsid w:val="167C1082"/>
    <w:rsid w:val="192632E6"/>
    <w:rsid w:val="1B6F1962"/>
    <w:rsid w:val="1C744CBF"/>
    <w:rsid w:val="1C914169"/>
    <w:rsid w:val="1F572E39"/>
    <w:rsid w:val="1F8154A2"/>
    <w:rsid w:val="20034AD4"/>
    <w:rsid w:val="22767EB0"/>
    <w:rsid w:val="22861ED8"/>
    <w:rsid w:val="27562CA6"/>
    <w:rsid w:val="286F1B1C"/>
    <w:rsid w:val="28D728F5"/>
    <w:rsid w:val="2A5727A7"/>
    <w:rsid w:val="2B3247EE"/>
    <w:rsid w:val="2DC518B5"/>
    <w:rsid w:val="2E9372BE"/>
    <w:rsid w:val="30F54535"/>
    <w:rsid w:val="328F1D91"/>
    <w:rsid w:val="36214EDF"/>
    <w:rsid w:val="395E7E49"/>
    <w:rsid w:val="398C704B"/>
    <w:rsid w:val="3A486D41"/>
    <w:rsid w:val="3CB10683"/>
    <w:rsid w:val="3D631500"/>
    <w:rsid w:val="3E0D35E4"/>
    <w:rsid w:val="3E4B1963"/>
    <w:rsid w:val="40731651"/>
    <w:rsid w:val="4081021C"/>
    <w:rsid w:val="40BA4B7E"/>
    <w:rsid w:val="42E3660E"/>
    <w:rsid w:val="4601059C"/>
    <w:rsid w:val="4602087F"/>
    <w:rsid w:val="4748485A"/>
    <w:rsid w:val="4AFC64BF"/>
    <w:rsid w:val="4BBE358A"/>
    <w:rsid w:val="4C080FD4"/>
    <w:rsid w:val="4E514D65"/>
    <w:rsid w:val="4EE728E7"/>
    <w:rsid w:val="4F0307B2"/>
    <w:rsid w:val="4F302902"/>
    <w:rsid w:val="52077AEA"/>
    <w:rsid w:val="55E76771"/>
    <w:rsid w:val="58AA6296"/>
    <w:rsid w:val="58AF2EC0"/>
    <w:rsid w:val="5A13112F"/>
    <w:rsid w:val="5BC30933"/>
    <w:rsid w:val="5DC12353"/>
    <w:rsid w:val="60B42209"/>
    <w:rsid w:val="637274E6"/>
    <w:rsid w:val="63E65795"/>
    <w:rsid w:val="652C7549"/>
    <w:rsid w:val="65B57FA7"/>
    <w:rsid w:val="675A13CF"/>
    <w:rsid w:val="682C3048"/>
    <w:rsid w:val="69DD2B70"/>
    <w:rsid w:val="6B1B73BC"/>
    <w:rsid w:val="6F4B168B"/>
    <w:rsid w:val="70F118E0"/>
    <w:rsid w:val="71704C61"/>
    <w:rsid w:val="719F6C19"/>
    <w:rsid w:val="78CC0C1A"/>
    <w:rsid w:val="79667853"/>
    <w:rsid w:val="7AE949AB"/>
    <w:rsid w:val="7D266D66"/>
    <w:rsid w:val="7E7E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Book1.xlsx" TargetMode="External"/></Relationships>
</file>

<file path=word/charts/_rels/chart2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t>收入预算图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explosion val="0"/>
          <c:dPt>
            <c:idx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[Book1.xlsx]Sheet1!$A$6</c:f>
              <c:strCache>
                <c:ptCount val="1"/>
                <c:pt idx="0">
                  <c:v>一般公共预算拨款收入</c:v>
                </c:pt>
              </c:strCache>
            </c:strRef>
          </c:cat>
          <c:val>
            <c:numRef>
              <c:f>[Book1.xlsx]Sheet1!$A$7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00737532808399"/>
          <c:y val="0.0547878390201225"/>
          <c:w val="0.236068022747157"/>
          <c:h val="0.307090988626422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支出预算图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06636338315848"/>
          <c:y val="0.169464400256575"/>
          <c:w val="0.389141212515087"/>
          <c:h val="0.672135984605516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>
            <a:effectLst>
              <a:outerShdw blurRad="63500" sx="102000" sy="102000" algn="ctr" rotWithShape="0">
                <a:prstClr val="black">
                  <a:alpha val="30000"/>
                </a:prstClr>
              </a:outerShdw>
            </a:effectLst>
          </c:spPr>
          <c:explosion val="0"/>
          <c:dPt>
            <c:idx val="0"/>
            <c:bubble3D val="0"/>
            <c:spPr>
              <a:solidFill>
                <a:srgbClr val="FF6C0D"/>
              </a:solidFill>
              <a:ln w="19050">
                <a:solidFill>
                  <a:schemeClr val="lt1"/>
                </a:solidFill>
              </a:ln>
              <a:effectLst>
                <a:outerShdw blurRad="63500" sx="102000" sy="102000" algn="ctr" rotWithShape="0">
                  <a:prstClr val="black">
                    <a:alpha val="3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>
                <a:outerShdw blurRad="63500" sx="102000" sy="102000" algn="ctr" rotWithShape="0">
                  <a:prstClr val="black">
                    <a:alpha val="3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>
                <a:outerShdw blurRad="63500" sx="102000" sy="102000" algn="ctr" rotWithShape="0">
                  <a:prstClr val="black">
                    <a:alpha val="3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>
                <a:outerShdw blurRad="63500" sx="102000" sy="102000" algn="ctr" rotWithShape="0">
                  <a:prstClr val="black">
                    <a:alpha val="30000"/>
                  </a:prstClr>
                </a:outerShdw>
              </a:effectLst>
            </c:spPr>
          </c:dPt>
          <c:dLbls>
            <c:dLbl>
              <c:idx val="1"/>
              <c:layout>
                <c:manualLayout>
                  <c:x val="0.0685440447080197"/>
                  <c:y val="0.0873073240976329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081236653978275"/>
                      <c:h val="0.046023091725465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0.0276844959912672"/>
                  <c:y val="0.1135271114041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109902553620327"/>
                  <c:y val="0.067592232367226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教育支出</c:v>
                </c:pt>
                <c:pt idx="1">
                  <c:v>社会保障和就业支出</c:v>
                </c:pt>
                <c:pt idx="2">
                  <c:v>卫生健康支出</c:v>
                </c:pt>
                <c:pt idx="3">
                  <c:v>住房保障支出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0.8069</c:v>
                </c:pt>
                <c:pt idx="1">
                  <c:v>0.0893</c:v>
                </c:pt>
                <c:pt idx="2">
                  <c:v>0.0383</c:v>
                </c:pt>
                <c:pt idx="3">
                  <c:v>0.0655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自定义 754">
    <a:dk1>
      <a:srgbClr val="000000"/>
    </a:dk1>
    <a:lt1>
      <a:srgbClr val="FFFFFF"/>
    </a:lt1>
    <a:dk2>
      <a:srgbClr val="0C0E1F"/>
    </a:dk2>
    <a:lt2>
      <a:srgbClr val="FEFFFF"/>
    </a:lt2>
    <a:accent1>
      <a:srgbClr val="04CD9E"/>
    </a:accent1>
    <a:accent2>
      <a:srgbClr val="80E214"/>
    </a:accent2>
    <a:accent3>
      <a:srgbClr val="119FBE"/>
    </a:accent3>
    <a:accent4>
      <a:srgbClr val="EBC279"/>
    </a:accent4>
    <a:accent5>
      <a:srgbClr val="F95F5F"/>
    </a:accent5>
    <a:accent6>
      <a:srgbClr val="A15CFF"/>
    </a:accent6>
    <a:hlink>
      <a:srgbClr val="304FFE"/>
    </a:hlink>
    <a:folHlink>
      <a:srgbClr val="492067"/>
    </a:folHlink>
  </a:clrScheme>
  <a:fontScheme name="自定义 2">
    <a:majorFont>
      <a:latin typeface="微软雅黑"/>
      <a:ea typeface="微软雅黑"/>
      <a:cs typeface=""/>
    </a:majorFont>
    <a:minorFont>
      <a:latin typeface="微软雅黑"/>
      <a:ea typeface="微软雅黑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3297</Words>
  <Characters>3543</Characters>
  <Lines>0</Lines>
  <Paragraphs>0</Paragraphs>
  <TotalTime>2</TotalTime>
  <ScaleCrop>false</ScaleCrop>
  <LinksUpToDate>false</LinksUpToDate>
  <CharactersWithSpaces>3550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2024-05-22T14:39:00Z</dcterms:created>
  <dc:creator>dell</dc:creator>
  <cp:lastModifiedBy>Administrator</cp:lastModifiedBy>
  <dcterms:modified xsi:type="dcterms:W3CDTF">2024-06-22T04:26:15Z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4B589B6B695C4DC7952F61D9C4C27BB6_13</vt:lpwstr>
  </property>
</Properties>
</file>