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岳阳</w:t>
      </w:r>
      <w:r>
        <w:rPr>
          <w:rFonts w:hint="eastAsia" w:ascii="方正小标宋简体" w:hAnsi="方正小标宋简体" w:eastAsia="方正小标宋简体" w:cs="方正小标宋简体"/>
          <w:b/>
          <w:bCs/>
          <w:sz w:val="44"/>
          <w:szCs w:val="44"/>
        </w:rPr>
        <w:t>市</w:t>
      </w:r>
      <w:r>
        <w:rPr>
          <w:rFonts w:hint="eastAsia" w:ascii="方正小标宋简体" w:hAnsi="方正小标宋简体" w:eastAsia="方正小标宋简体" w:cs="方正小标宋简体"/>
          <w:b/>
          <w:bCs/>
          <w:sz w:val="44"/>
          <w:szCs w:val="44"/>
          <w:lang w:val="en-US" w:eastAsia="zh-CN"/>
        </w:rPr>
        <w:t>君山区拆迁安置服务中心</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asciiTheme="minorEastAsia" w:hAnsiTheme="minorEastAsia" w:eastAsiaTheme="minorEastAsia" w:cstheme="minorEastAsia"/>
          <w:sz w:val="28"/>
          <w:szCs w:val="28"/>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0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 w:hAnsi="仿宋" w:eastAsia="仿宋" w:cs="仿宋"/>
          <w:color w:val="FF0000"/>
          <w:sz w:val="30"/>
          <w:szCs w:val="30"/>
        </w:rPr>
        <w:t xml:space="preserve"> </w:t>
      </w:r>
      <w:r>
        <w:rPr>
          <w:rFonts w:hint="eastAsia" w:ascii="仿宋_GB2312" w:hAnsi="仿宋_GB2312" w:eastAsia="仿宋_GB2312" w:cs="仿宋_GB2312"/>
          <w:color w:val="000000"/>
          <w:sz w:val="32"/>
          <w:szCs w:val="32"/>
          <w:shd w:val="clear" w:color="auto" w:fill="FFFFFF"/>
          <w:lang w:val="en-US" w:eastAsia="zh-CN"/>
        </w:rPr>
        <w:t>君山区拆迁安置服务中心主要承担土地房屋征收安置、民生建房和禁违拆违治违、土地收储等有关管理职责：</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1、配合相关职能部门，贯彻落实国家、省、市征收安置法律、法规及有关政策，向被征收人宣传、解释相关征收安置政策，保障征收人和被征收人的合法利益。</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2、做好各类建设项目征地拆迁、安置的服务、协调及其他相关工作。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3、配合相关职能部门，完成土地征收方案、征收资金概算、征地公告、征地补偿安置方案公告的编制，上报及组织发布。</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4、负责房屋征收安置相关的政策法规、项目资料的整理和归档工作。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5、配合相关职能部门，协调处理征收、安置过程中信访案件的回复和办理。</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6、负责起草归口项目资金结算调度方案，办理项目资金结算、汇总，办理项目竣工结算和财务决算。</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7、依据区政府批准的土地收购储备计划，对企事业单位需要盘活的存量土地和其他需调整的土地适时进行收购。</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8、根据土地利用和城市总体规划以及市场需求，适量储备土地，并做好储备土地的信息发布、登记、招商洽谈和投放市场的前期准备等服务性工作。</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9、经营和管理由政府依法收回的违法用地、闲置抛荒土地，并纳入储备土地。</w:t>
      </w:r>
    </w:p>
    <w:p>
      <w:pPr>
        <w:spacing w:line="570" w:lineRule="atLeast"/>
        <w:ind w:firstLine="640" w:firstLineChars="200"/>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10、承办区委、区人民政府交办的其他事项</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auto"/>
          <w:kern w:val="2"/>
          <w:sz w:val="32"/>
          <w:szCs w:val="32"/>
          <w:highlight w:val="none"/>
          <w:shd w:val="clear" w:color="auto" w:fill="FFFFFF"/>
          <w:lang w:val="en-US" w:eastAsia="zh-CN" w:bidi="ar-SA"/>
        </w:rPr>
        <w:t>君山区拆迁安置服务中心</w:t>
      </w:r>
      <w:r>
        <w:rPr>
          <w:rFonts w:hint="eastAsia" w:ascii="仿宋_GB2312" w:hAnsi="仿宋_GB2312" w:eastAsia="仿宋_GB2312" w:cs="仿宋_GB2312"/>
          <w:color w:val="000000"/>
          <w:sz w:val="32"/>
          <w:szCs w:val="32"/>
          <w:shd w:val="clear" w:color="auto" w:fill="FFFFFF"/>
          <w:lang w:val="en-US" w:eastAsia="zh-CN"/>
        </w:rPr>
        <w:t>内设机构6个：办公室、征收安置服务股、财务统计股、政策宣传股、政工人事股、土地储备中心（副科级）。核定区拆迁安置服务中心财政全额拨款事业编制23人，其中主任1名，副主任3名，土地储备中心主任1名（副科级）、股级领导职数5名。</w:t>
      </w:r>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rPr>
        <w:t>二、部门预算单位构成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auto"/>
          <w:spacing w:val="0"/>
          <w:sz w:val="28"/>
          <w:szCs w:val="28"/>
          <w:highlight w:val="none"/>
          <w:shd w:val="clear" w:fill="FFFFFF"/>
        </w:rPr>
      </w:pPr>
      <w:bookmarkStart w:id="0" w:name="DEPT_COMPOSE"/>
      <w:r>
        <w:rPr>
          <w:rFonts w:hint="eastAsia" w:ascii="仿宋_GB2312" w:hAnsi="仿宋_GB2312" w:eastAsia="仿宋_GB2312" w:cs="仿宋_GB2312"/>
          <w:color w:val="auto"/>
          <w:kern w:val="2"/>
          <w:sz w:val="32"/>
          <w:szCs w:val="32"/>
          <w:highlight w:val="none"/>
          <w:shd w:val="clear" w:color="auto" w:fill="FFFFFF"/>
          <w:lang w:val="en-US" w:eastAsia="zh-CN" w:bidi="ar-SA"/>
        </w:rPr>
        <w:t>岳阳市君山区拆迁安置服务中心部门只有本级，没有其他二级预算单位，因此，纳入2024年部门预算编制范围的只有岳阳市君山区拆迁安置服务中心本级。</w:t>
      </w:r>
      <w:bookmarkEnd w:id="0"/>
    </w:p>
    <w:p>
      <w:pPr>
        <w:widowControl/>
        <w:spacing w:line="570" w:lineRule="atLeast"/>
        <w:ind w:firstLine="643" w:firstLineChars="200"/>
        <w:rPr>
          <w:rFonts w:hint="eastAsia" w:ascii="Times New Roman" w:hAnsi="Times New Roman" w:eastAsia="黑体" w:cs="Times New Roman"/>
          <w:b/>
          <w:bCs/>
          <w:color w:val="auto"/>
          <w:kern w:val="0"/>
          <w:sz w:val="32"/>
          <w:szCs w:val="32"/>
          <w:highlight w:val="none"/>
        </w:rPr>
      </w:pPr>
      <w:r>
        <w:rPr>
          <w:rFonts w:hint="eastAsia" w:ascii="Times New Roman" w:hAnsi="Times New Roman" w:eastAsia="黑体" w:cs="Times New Roman"/>
          <w:b/>
          <w:bCs/>
          <w:color w:val="auto"/>
          <w:kern w:val="0"/>
          <w:sz w:val="32"/>
          <w:szCs w:val="32"/>
          <w:highlight w:val="none"/>
          <w:lang w:val="en-US" w:eastAsia="zh-CN"/>
        </w:rPr>
        <w:t>三、</w:t>
      </w:r>
      <w:r>
        <w:rPr>
          <w:rFonts w:hint="eastAsia" w:ascii="Times New Roman" w:hAnsi="Times New Roman" w:eastAsia="黑体" w:cs="Times New Roman"/>
          <w:b/>
          <w:bCs/>
          <w:color w:val="auto"/>
          <w:kern w:val="0"/>
          <w:sz w:val="32"/>
          <w:szCs w:val="32"/>
          <w:highlight w:val="none"/>
        </w:rPr>
        <w:t>部门收支总体情况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本部门2024年没有国有资本经营预算收入和纳入专户管理的非税收入拨款收入，也没有使用国有资本经营预算收入和纳入专户管理的非税收入拨款安排的支出，所以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18、19表均为空。</w:t>
      </w:r>
    </w:p>
    <w:p>
      <w:pPr>
        <w:keepNext w:val="0"/>
        <w:keepLines w:val="0"/>
        <w:pageBreakBefore w:val="0"/>
        <w:widowControl/>
        <w:kinsoku/>
        <w:wordWrap/>
        <w:overflowPunct/>
        <w:topLinePunct w:val="0"/>
        <w:autoSpaceDE/>
        <w:autoSpaceDN/>
        <w:bidi w:val="0"/>
        <w:adjustRightInd/>
        <w:snapToGrid/>
        <w:spacing w:line="600" w:lineRule="exact"/>
        <w:ind w:firstLine="630" w:firstLineChars="196"/>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kern w:val="2"/>
          <w:sz w:val="32"/>
          <w:szCs w:val="32"/>
          <w:highlight w:val="none"/>
          <w:lang w:val="en-US" w:eastAsia="zh-CN" w:bidi="ar-SA"/>
        </w:rPr>
        <w:t>（一）收入预算：</w:t>
      </w:r>
      <w:r>
        <w:rPr>
          <w:rFonts w:hint="eastAsia" w:ascii="仿宋_GB2312" w:hAnsi="仿宋_GB2312" w:eastAsia="仿宋_GB2312" w:cs="仿宋_GB2312"/>
          <w:color w:val="auto"/>
          <w:kern w:val="2"/>
          <w:sz w:val="32"/>
          <w:szCs w:val="32"/>
          <w:highlight w:val="none"/>
          <w:shd w:val="clear" w:color="auto" w:fill="FFFFFF"/>
          <w:lang w:val="en-US" w:eastAsia="zh-CN" w:bidi="ar-SA"/>
        </w:rPr>
        <w:t>包括一般公共预算、政府性基金、国有资本经营预算等财政拨款收入，以及经营收入、事业收入等单位资金。2024年本部门收入预算17620.12万元，其中，一般公共预算拨款417.04万元，政府性基金预算资金17203.08万元，国有资本经营预算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18表为空)，财政专户管理资金0.00万元(所以</w:t>
      </w:r>
      <w:r>
        <w:rPr>
          <w:rFonts w:hint="eastAsia" w:ascii="仿宋_GB2312" w:hAnsi="仿宋_GB2312" w:eastAsia="仿宋_GB2312" w:cs="仿宋_GB2312"/>
          <w:color w:val="auto"/>
          <w:sz w:val="32"/>
          <w:szCs w:val="32"/>
          <w:highlight w:val="none"/>
          <w:shd w:val="clear" w:color="auto" w:fill="FFFFFF"/>
          <w:lang w:val="en-US" w:eastAsia="zh-CN"/>
        </w:rPr>
        <w:t>部门预算公开表</w:t>
      </w:r>
      <w:r>
        <w:rPr>
          <w:rFonts w:hint="eastAsia" w:ascii="仿宋_GB2312" w:hAnsi="仿宋_GB2312" w:eastAsia="仿宋_GB2312" w:cs="仿宋_GB2312"/>
          <w:color w:val="auto"/>
          <w:kern w:val="2"/>
          <w:sz w:val="32"/>
          <w:szCs w:val="32"/>
          <w:highlight w:val="none"/>
          <w:shd w:val="clear" w:color="auto" w:fill="FFFFFF"/>
          <w:lang w:val="en-US" w:eastAsia="zh-CN" w:bidi="ar-SA"/>
        </w:rPr>
        <w:t>19表为空</w:t>
      </w:r>
      <w:r>
        <w:rPr>
          <w:rFonts w:hint="eastAsia" w:ascii="仿宋_GB2312" w:hAnsi="仿宋_GB2312" w:eastAsia="仿宋_GB2312" w:cs="仿宋_GB2312"/>
          <w:color w:val="000000"/>
          <w:kern w:val="2"/>
          <w:sz w:val="32"/>
          <w:szCs w:val="32"/>
          <w:shd w:val="clear" w:color="auto" w:fill="FFFFFF"/>
          <w:lang w:val="en-US" w:eastAsia="zh-CN" w:bidi="ar-SA"/>
        </w:rPr>
        <w:t>)，上级补助收入资金0.00万元，事业单位经营收入资金0.00万元，上年结转结余0.00万元。</w:t>
      </w:r>
      <w:r>
        <w:rPr>
          <w:rFonts w:eastAsia="仿宋_GB2312"/>
          <w:b w:val="0"/>
          <w:bCs/>
          <w:color w:val="auto"/>
          <w:sz w:val="32"/>
          <w:szCs w:val="32"/>
        </w:rPr>
        <w:t>收入</w:t>
      </w:r>
      <w:r>
        <w:rPr>
          <w:rFonts w:hint="eastAsia" w:eastAsia="仿宋_GB2312"/>
          <w:b w:val="0"/>
          <w:bCs/>
          <w:color w:val="auto"/>
          <w:sz w:val="32"/>
          <w:szCs w:val="32"/>
          <w:lang w:eastAsia="zh-CN"/>
        </w:rPr>
        <w:t>预算</w:t>
      </w:r>
      <w:r>
        <w:rPr>
          <w:rFonts w:eastAsia="仿宋_GB2312"/>
          <w:b w:val="0"/>
          <w:bCs/>
          <w:color w:val="auto"/>
          <w:sz w:val="32"/>
          <w:szCs w:val="32"/>
        </w:rPr>
        <w:t>较</w:t>
      </w:r>
      <w:r>
        <w:rPr>
          <w:rFonts w:hint="eastAsia" w:eastAsia="仿宋_GB2312"/>
          <w:b w:val="0"/>
          <w:bCs/>
          <w:color w:val="auto"/>
          <w:sz w:val="32"/>
          <w:szCs w:val="32"/>
          <w:lang w:eastAsia="zh-CN"/>
        </w:rPr>
        <w:t>上年减少</w:t>
      </w:r>
      <w:r>
        <w:rPr>
          <w:rFonts w:hint="eastAsia" w:eastAsia="仿宋_GB2312" w:cstheme="minorBidi"/>
          <w:b w:val="0"/>
          <w:bCs/>
          <w:color w:val="auto"/>
          <w:kern w:val="2"/>
          <w:sz w:val="32"/>
          <w:szCs w:val="32"/>
          <w:lang w:val="en-US" w:eastAsia="zh-CN" w:bidi="ar-SA"/>
        </w:rPr>
        <w:t>10504.29万元，其中：</w:t>
      </w:r>
      <w:r>
        <w:rPr>
          <w:rFonts w:hint="eastAsia" w:eastAsia="仿宋_GB2312"/>
          <w:b w:val="0"/>
          <w:bCs/>
          <w:color w:val="auto"/>
          <w:sz w:val="32"/>
          <w:szCs w:val="32"/>
          <w:lang w:eastAsia="zh-CN"/>
        </w:rPr>
        <w:t>一般公共预算拨款减少了</w:t>
      </w:r>
      <w:r>
        <w:rPr>
          <w:rFonts w:hint="eastAsia" w:eastAsia="仿宋_GB2312"/>
          <w:b w:val="0"/>
          <w:bCs/>
          <w:color w:val="auto"/>
          <w:sz w:val="32"/>
          <w:szCs w:val="32"/>
          <w:lang w:val="en-US" w:eastAsia="zh-CN"/>
        </w:rPr>
        <w:t>62.37万元，</w:t>
      </w:r>
      <w:r>
        <w:rPr>
          <w:rFonts w:hint="eastAsia" w:ascii="仿宋_GB2312" w:hAnsi="仿宋_GB2312" w:eastAsia="仿宋_GB2312" w:cs="仿宋_GB2312"/>
          <w:color w:val="auto"/>
          <w:kern w:val="2"/>
          <w:sz w:val="32"/>
          <w:szCs w:val="32"/>
          <w:shd w:val="clear" w:color="auto" w:fill="FFFFFF"/>
          <w:lang w:val="en-US" w:eastAsia="zh-CN" w:bidi="ar-SA"/>
        </w:rPr>
        <w:t>下降13%。</w:t>
      </w:r>
      <w:r>
        <w:rPr>
          <w:rFonts w:hint="eastAsia" w:eastAsia="仿宋_GB2312"/>
          <w:b w:val="0"/>
          <w:bCs/>
          <w:color w:val="auto"/>
          <w:sz w:val="32"/>
          <w:szCs w:val="32"/>
          <w:lang w:val="en-US" w:eastAsia="zh-CN"/>
        </w:rPr>
        <w:t>主要原因是坚决落实过紧日子要求，按比上年压减20%标准控制本年业务工作经费预算，降低了行政成本；政府性基金预算拨款减少了10441.92</w:t>
      </w:r>
      <w:r>
        <w:rPr>
          <w:rFonts w:eastAsia="仿宋_GB2312"/>
          <w:b w:val="0"/>
          <w:bCs/>
          <w:color w:val="auto"/>
          <w:sz w:val="32"/>
          <w:szCs w:val="32"/>
        </w:rPr>
        <w:t>万元，</w:t>
      </w:r>
      <w:r>
        <w:rPr>
          <w:rFonts w:hint="eastAsia" w:ascii="仿宋_GB2312" w:hAnsi="仿宋_GB2312" w:eastAsia="仿宋_GB2312" w:cs="仿宋_GB2312"/>
          <w:color w:val="auto"/>
          <w:kern w:val="2"/>
          <w:sz w:val="32"/>
          <w:szCs w:val="32"/>
          <w:shd w:val="clear" w:color="auto" w:fill="FFFFFF"/>
          <w:lang w:val="en-US" w:eastAsia="zh-CN" w:bidi="ar-SA"/>
        </w:rPr>
        <w:t>下降37.78%。</w:t>
      </w:r>
      <w:r>
        <w:rPr>
          <w:rFonts w:eastAsia="仿宋_GB2312"/>
          <w:b w:val="0"/>
          <w:bCs/>
          <w:color w:val="auto"/>
          <w:sz w:val="32"/>
          <w:szCs w:val="32"/>
        </w:rPr>
        <w:t>主要</w:t>
      </w:r>
      <w:r>
        <w:rPr>
          <w:rFonts w:hint="eastAsia" w:eastAsia="仿宋_GB2312"/>
          <w:b w:val="0"/>
          <w:bCs/>
          <w:color w:val="auto"/>
          <w:sz w:val="32"/>
          <w:szCs w:val="32"/>
          <w:lang w:eastAsia="zh-CN"/>
        </w:rPr>
        <w:t>原因是</w:t>
      </w:r>
      <w:r>
        <w:rPr>
          <w:rFonts w:hint="eastAsia" w:eastAsia="仿宋_GB2312"/>
          <w:b w:val="0"/>
          <w:bCs/>
          <w:color w:val="auto"/>
          <w:sz w:val="32"/>
          <w:szCs w:val="32"/>
          <w:lang w:val="en-US" w:eastAsia="zh-CN"/>
        </w:rPr>
        <w:t>减少了项目征地补偿及土地收储资金</w:t>
      </w:r>
      <w:r>
        <w:rPr>
          <w:rFonts w:eastAsia="仿宋_GB2312"/>
          <w:b w:val="0"/>
          <w:bCs/>
          <w:color w:val="auto"/>
          <w:sz w:val="32"/>
          <w:szCs w:val="32"/>
        </w:rPr>
        <w:t>。</w:t>
      </w:r>
    </w:p>
    <w:p>
      <w:pPr>
        <w:keepNext w:val="0"/>
        <w:keepLines w:val="0"/>
        <w:pageBreakBefore w:val="0"/>
        <w:widowControl/>
        <w:kinsoku/>
        <w:wordWrap/>
        <w:overflowPunct/>
        <w:topLinePunct w:val="0"/>
        <w:autoSpaceDE/>
        <w:autoSpaceDN/>
        <w:bidi w:val="0"/>
        <w:adjustRightInd/>
        <w:snapToGrid/>
        <w:spacing w:line="600" w:lineRule="exact"/>
        <w:ind w:firstLine="627" w:firstLineChars="196"/>
        <w:textAlignment w:val="auto"/>
        <w:rPr>
          <w:rFonts w:hint="eastAsia" w:ascii="仿宋_GB2312" w:hAnsi="仿宋_GB2312" w:eastAsia="仿宋_GB2312" w:cs="仿宋_GB2312"/>
          <w:color w:val="000000"/>
          <w:kern w:val="2"/>
          <w:sz w:val="32"/>
          <w:szCs w:val="32"/>
          <w:shd w:val="clear" w:color="auto" w:fill="FFFFFF"/>
          <w:lang w:val="en-US" w:eastAsia="zh-CN" w:bidi="ar-SA"/>
        </w:rPr>
      </w:pP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239" w:leftChars="114" w:right="0" w:rightChars="0" w:firstLine="240" w:firstLineChars="100"/>
        <w:jc w:val="both"/>
        <w:textAlignment w:val="center"/>
        <w:rPr>
          <w:rFonts w:hint="eastAsia" w:eastAsia="仿宋_GB2312" w:asciiTheme="minorHAnsi" w:hAnsiTheme="minorHAnsi" w:cstheme="minorBidi"/>
          <w:b w:val="0"/>
          <w:bCs/>
          <w:color w:val="auto"/>
          <w:kern w:val="2"/>
          <w:sz w:val="32"/>
          <w:szCs w:val="32"/>
          <w:lang w:val="en-US" w:eastAsia="zh-CN" w:bidi="ar-SA"/>
        </w:rPr>
      </w:pPr>
      <w:r>
        <w:drawing>
          <wp:inline distT="0" distB="0" distL="114300" distR="114300">
            <wp:extent cx="5121275" cy="2334260"/>
            <wp:effectExtent l="5080" t="4445" r="17145" b="6159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eastAsia"/>
          <w:lang w:val="en-US" w:eastAsia="zh-CN"/>
        </w:rPr>
        <w:t xml:space="preserve">       </w:t>
      </w:r>
      <w:r>
        <w:rPr>
          <w:rFonts w:hint="eastAsia" w:ascii="Times New Roman" w:hAnsi="Times New Roman" w:eastAsia="仿宋_GB2312" w:cs="Times New Roman"/>
          <w:b/>
          <w:kern w:val="2"/>
          <w:sz w:val="32"/>
          <w:szCs w:val="32"/>
          <w:lang w:val="en-US" w:eastAsia="zh-CN" w:bidi="ar-SA"/>
        </w:rPr>
        <w:t>（二）支出预算：</w:t>
      </w:r>
      <w:r>
        <w:rPr>
          <w:rFonts w:hint="eastAsia" w:eastAsia="仿宋_GB2312" w:asciiTheme="minorHAnsi" w:hAnsiTheme="minorHAnsi" w:cstheme="minorBidi"/>
          <w:b w:val="0"/>
          <w:bCs/>
          <w:color w:val="auto"/>
          <w:kern w:val="2"/>
          <w:sz w:val="32"/>
          <w:szCs w:val="32"/>
          <w:lang w:val="en-US" w:eastAsia="zh-CN" w:bidi="ar-SA"/>
        </w:rPr>
        <w:t>2024年本部门支出预算17620.12万元，其中：社会保障和就业支出24.66万元，卫生健康支出10.63万元，城乡社区支出17566.74万元；住房保障支出18.09万元。支出</w:t>
      </w:r>
      <w:r>
        <w:rPr>
          <w:rFonts w:hint="eastAsia" w:eastAsia="仿宋_GB2312" w:cstheme="minorBidi"/>
          <w:b w:val="0"/>
          <w:bCs/>
          <w:color w:val="auto"/>
          <w:kern w:val="2"/>
          <w:sz w:val="32"/>
          <w:szCs w:val="32"/>
          <w:lang w:val="en-US" w:eastAsia="zh-CN" w:bidi="ar-SA"/>
        </w:rPr>
        <w:t>预算</w:t>
      </w:r>
      <w:r>
        <w:rPr>
          <w:rFonts w:hint="eastAsia" w:eastAsia="仿宋_GB2312" w:asciiTheme="minorHAnsi" w:hAnsiTheme="minorHAnsi" w:cstheme="minorBidi"/>
          <w:b w:val="0"/>
          <w:bCs/>
          <w:color w:val="auto"/>
          <w:kern w:val="2"/>
          <w:sz w:val="32"/>
          <w:szCs w:val="32"/>
          <w:lang w:val="en-US" w:eastAsia="zh-CN" w:bidi="ar-SA"/>
        </w:rPr>
        <w:t>较上年</w:t>
      </w:r>
      <w:r>
        <w:rPr>
          <w:rFonts w:hint="eastAsia" w:eastAsia="仿宋_GB2312" w:cstheme="minorBidi"/>
          <w:b w:val="0"/>
          <w:bCs/>
          <w:color w:val="auto"/>
          <w:kern w:val="2"/>
          <w:sz w:val="32"/>
          <w:szCs w:val="32"/>
          <w:lang w:val="en-US" w:eastAsia="zh-CN" w:bidi="ar-SA"/>
        </w:rPr>
        <w:t>减少10504.29万元，其中：</w:t>
      </w:r>
      <w:r>
        <w:rPr>
          <w:rFonts w:hint="eastAsia" w:eastAsia="仿宋_GB2312" w:asciiTheme="minorHAnsi" w:hAnsiTheme="minorHAnsi" w:cstheme="minorBidi"/>
          <w:b w:val="0"/>
          <w:bCs/>
          <w:color w:val="auto"/>
          <w:kern w:val="2"/>
          <w:sz w:val="32"/>
          <w:szCs w:val="32"/>
          <w:lang w:val="en-US" w:eastAsia="zh-CN" w:bidi="ar-SA"/>
        </w:rPr>
        <w:t>一般公共预算拨款减少了62.37万元，下降13%。主要原因是坚决落实过紧日子要求，按比上年压减20%标准控制本年业务工作经费支出预算，降低了行政成本；政府性基金预算拨款减少了10441.92万元，下降37.78%。主要原因是减少了项目征地补偿及土地收储资金，从而导致政府性基金预算支出减少。</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firstLine="480" w:firstLineChars="200"/>
        <w:jc w:val="both"/>
        <w:textAlignment w:val="center"/>
        <w:rPr>
          <w:rFonts w:hint="eastAsia" w:eastAsia="仿宋_GB2312" w:asciiTheme="minorHAnsi" w:hAnsiTheme="minorHAnsi" w:cstheme="minorBidi"/>
          <w:b w:val="0"/>
          <w:bCs/>
          <w:color w:val="auto"/>
          <w:kern w:val="2"/>
          <w:sz w:val="32"/>
          <w:szCs w:val="32"/>
          <w:lang w:val="en-US" w:eastAsia="zh-CN" w:bidi="ar-SA"/>
        </w:rPr>
      </w:pPr>
      <w:r>
        <w:drawing>
          <wp:inline distT="0" distB="0" distL="114300" distR="114300">
            <wp:extent cx="4596765" cy="3001010"/>
            <wp:effectExtent l="4445" t="4445" r="8890" b="23495"/>
            <wp:docPr id="2"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2024年本部门一般公共预算拨款支出417.04万元，其中：</w:t>
      </w:r>
      <w:r>
        <w:rPr>
          <w:rFonts w:hint="eastAsia" w:eastAsia="仿宋_GB2312" w:asciiTheme="minorHAnsi" w:hAnsiTheme="minorHAnsi" w:cstheme="minorBidi"/>
          <w:b w:val="0"/>
          <w:bCs/>
          <w:color w:val="auto"/>
          <w:kern w:val="2"/>
          <w:sz w:val="32"/>
          <w:szCs w:val="32"/>
          <w:lang w:val="en-US" w:eastAsia="zh-CN" w:bidi="ar-SA"/>
        </w:rPr>
        <w:t>社会保障和就业支出24.66万元，</w:t>
      </w:r>
      <w:r>
        <w:rPr>
          <w:rFonts w:hint="eastAsia" w:eastAsia="仿宋_GB2312" w:cstheme="minorBidi"/>
          <w:b w:val="0"/>
          <w:bCs/>
          <w:color w:val="auto"/>
          <w:kern w:val="2"/>
          <w:sz w:val="32"/>
          <w:szCs w:val="32"/>
          <w:lang w:val="en-US" w:eastAsia="zh-CN" w:bidi="ar-SA"/>
        </w:rPr>
        <w:t>占5.91%；</w:t>
      </w:r>
      <w:r>
        <w:rPr>
          <w:rFonts w:hint="eastAsia" w:eastAsia="仿宋_GB2312" w:asciiTheme="minorHAnsi" w:hAnsiTheme="minorHAnsi" w:cstheme="minorBidi"/>
          <w:b w:val="0"/>
          <w:bCs/>
          <w:color w:val="auto"/>
          <w:kern w:val="2"/>
          <w:sz w:val="32"/>
          <w:szCs w:val="32"/>
          <w:lang w:val="en-US" w:eastAsia="zh-CN" w:bidi="ar-SA"/>
        </w:rPr>
        <w:t>卫生健康支出10.63万元，</w:t>
      </w:r>
      <w:r>
        <w:rPr>
          <w:rFonts w:hint="eastAsia" w:eastAsia="仿宋_GB2312" w:cstheme="minorBidi"/>
          <w:b w:val="0"/>
          <w:bCs/>
          <w:color w:val="auto"/>
          <w:kern w:val="2"/>
          <w:sz w:val="32"/>
          <w:szCs w:val="32"/>
          <w:lang w:val="en-US" w:eastAsia="zh-CN" w:bidi="ar-SA"/>
        </w:rPr>
        <w:t>占2.55%；</w:t>
      </w:r>
      <w:r>
        <w:rPr>
          <w:rFonts w:hint="eastAsia" w:eastAsia="仿宋_GB2312" w:asciiTheme="minorHAnsi" w:hAnsiTheme="minorHAnsi" w:cstheme="minorBidi"/>
          <w:b w:val="0"/>
          <w:bCs/>
          <w:color w:val="auto"/>
          <w:kern w:val="2"/>
          <w:sz w:val="32"/>
          <w:szCs w:val="32"/>
          <w:lang w:val="en-US" w:eastAsia="zh-CN" w:bidi="ar-SA"/>
        </w:rPr>
        <w:t>城乡社区支出</w:t>
      </w:r>
      <w:r>
        <w:rPr>
          <w:rFonts w:hint="eastAsia" w:eastAsia="仿宋_GB2312" w:cstheme="minorBidi"/>
          <w:b w:val="0"/>
          <w:bCs/>
          <w:color w:val="auto"/>
          <w:kern w:val="2"/>
          <w:sz w:val="32"/>
          <w:szCs w:val="32"/>
          <w:lang w:val="en-US" w:eastAsia="zh-CN" w:bidi="ar-SA"/>
        </w:rPr>
        <w:t>363.66</w:t>
      </w:r>
      <w:r>
        <w:rPr>
          <w:rFonts w:hint="eastAsia" w:eastAsia="仿宋_GB2312" w:asciiTheme="minorHAnsi" w:hAnsiTheme="minorHAnsi" w:cstheme="minorBidi"/>
          <w:b w:val="0"/>
          <w:bCs/>
          <w:color w:val="auto"/>
          <w:kern w:val="2"/>
          <w:sz w:val="32"/>
          <w:szCs w:val="32"/>
          <w:lang w:val="en-US" w:eastAsia="zh-CN" w:bidi="ar-SA"/>
        </w:rPr>
        <w:t>万元</w:t>
      </w:r>
      <w:r>
        <w:rPr>
          <w:rFonts w:hint="eastAsia" w:eastAsia="仿宋_GB2312" w:cstheme="minorBidi"/>
          <w:b w:val="0"/>
          <w:bCs/>
          <w:color w:val="auto"/>
          <w:kern w:val="2"/>
          <w:sz w:val="32"/>
          <w:szCs w:val="32"/>
          <w:lang w:val="en-US" w:eastAsia="zh-CN" w:bidi="ar-SA"/>
        </w:rPr>
        <w:t>，占87.2%</w:t>
      </w:r>
      <w:r>
        <w:rPr>
          <w:rFonts w:hint="eastAsia" w:eastAsia="仿宋_GB2312" w:asciiTheme="minorHAnsi" w:hAnsiTheme="minorHAnsi" w:cstheme="minorBidi"/>
          <w:b w:val="0"/>
          <w:bCs/>
          <w:color w:val="auto"/>
          <w:kern w:val="2"/>
          <w:sz w:val="32"/>
          <w:szCs w:val="32"/>
          <w:lang w:val="en-US" w:eastAsia="zh-CN" w:bidi="ar-SA"/>
        </w:rPr>
        <w:t>；住房保障支出18.09万元</w:t>
      </w:r>
      <w:r>
        <w:rPr>
          <w:rFonts w:hint="eastAsia" w:eastAsia="仿宋_GB2312" w:cstheme="minorBidi"/>
          <w:b w:val="0"/>
          <w:bCs/>
          <w:color w:val="auto"/>
          <w:kern w:val="2"/>
          <w:sz w:val="32"/>
          <w:szCs w:val="32"/>
          <w:lang w:val="en-US" w:eastAsia="zh-CN" w:bidi="ar-SA"/>
        </w:rPr>
        <w:t>，占4.34%</w:t>
      </w:r>
      <w:r>
        <w:rPr>
          <w:rFonts w:hint="eastAsia" w:eastAsia="仿宋_GB2312" w:asciiTheme="minorHAnsi" w:hAnsiTheme="minorHAnsi" w:cstheme="minorBidi"/>
          <w:b w:val="0"/>
          <w:bCs/>
          <w:color w:val="auto"/>
          <w:kern w:val="2"/>
          <w:sz w:val="32"/>
          <w:szCs w:val="32"/>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具体安排情况如下：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color w:val="auto"/>
          <w:sz w:val="32"/>
          <w:szCs w:val="32"/>
        </w:rPr>
        <w:t>（一）基本支出：</w:t>
      </w:r>
      <w:r>
        <w:rPr>
          <w:rFonts w:hint="eastAsia" w:ascii="仿宋_GB2312" w:hAnsi="仿宋_GB2312" w:eastAsia="仿宋_GB2312" w:cs="仿宋_GB2312"/>
          <w:color w:val="auto"/>
          <w:kern w:val="2"/>
          <w:sz w:val="32"/>
          <w:szCs w:val="32"/>
          <w:shd w:val="clear" w:color="auto" w:fill="FFFFFF"/>
          <w:lang w:val="en-US" w:eastAsia="zh-CN" w:bidi="ar-SA"/>
        </w:rPr>
        <w:t>2024年本部门基本支出预算数229.04万元，主要是为保</w:t>
      </w:r>
      <w:r>
        <w:rPr>
          <w:rFonts w:hint="eastAsia" w:ascii="仿宋_GB2312" w:hAnsi="仿宋_GB2312" w:eastAsia="仿宋_GB2312" w:cs="仿宋_GB2312"/>
          <w:color w:val="000000"/>
          <w:kern w:val="2"/>
          <w:sz w:val="32"/>
          <w:szCs w:val="32"/>
          <w:shd w:val="clear" w:color="auto" w:fill="FFFFFF"/>
          <w:lang w:val="en-US" w:eastAsia="zh-CN" w:bidi="ar-SA"/>
        </w:rPr>
        <w:t>障部门正常运转、完成日常工作任务而发生的各项支出，包括用于基本工资、津贴补贴等人员经费以及办公费、印刷费、水电费、办公设备购置等公用经费。</w:t>
      </w:r>
    </w:p>
    <w:p>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2024年本部门项目支出预算188万元，主要是本部门为完成特定工作任务或事业发展目标而发生的支出，</w:t>
      </w:r>
      <w:r>
        <w:rPr>
          <w:rFonts w:eastAsia="仿宋_GB2312"/>
          <w:sz w:val="32"/>
          <w:szCs w:val="32"/>
        </w:rPr>
        <w:t>包括</w:t>
      </w:r>
      <w:r>
        <w:rPr>
          <w:rFonts w:hint="eastAsia" w:eastAsia="仿宋_GB2312"/>
          <w:sz w:val="32"/>
          <w:szCs w:val="32"/>
          <w:lang w:eastAsia="zh-CN"/>
        </w:rPr>
        <w:t>业务工作经费支出、</w:t>
      </w:r>
      <w:r>
        <w:rPr>
          <w:rFonts w:hint="eastAsia" w:ascii="Times New Roman" w:hAnsi="Times New Roman" w:eastAsia="仿宋_GB2312" w:cs="Times New Roman"/>
          <w:sz w:val="32"/>
          <w:szCs w:val="32"/>
          <w:lang w:val="en-US" w:eastAsia="zh-CN"/>
        </w:rPr>
        <w:t>禁违拆违治违奖励基金</w:t>
      </w:r>
      <w:r>
        <w:rPr>
          <w:rFonts w:eastAsia="仿宋_GB2312"/>
          <w:sz w:val="32"/>
          <w:szCs w:val="32"/>
        </w:rPr>
        <w:t>等</w:t>
      </w:r>
      <w:r>
        <w:rPr>
          <w:rFonts w:hint="eastAsia" w:ascii="Times New Roman" w:hAnsi="Times New Roman" w:eastAsia="仿宋_GB2312" w:cs="Times New Roman"/>
          <w:sz w:val="32"/>
          <w:szCs w:val="32"/>
        </w:rPr>
        <w:t>，其中：城乡社区支出</w:t>
      </w:r>
      <w:r>
        <w:rPr>
          <w:rFonts w:hint="eastAsia" w:ascii="Times New Roman" w:hAnsi="Times New Roman" w:eastAsia="仿宋_GB2312" w:cs="Times New Roman"/>
          <w:sz w:val="32"/>
          <w:szCs w:val="32"/>
          <w:lang w:val="en-US" w:eastAsia="zh-CN"/>
        </w:rPr>
        <w:t>188万元，主要内容为禁违拆违治违奖励基金24</w:t>
      </w:r>
      <w:r>
        <w:rPr>
          <w:rFonts w:hint="eastAsia" w:ascii="Times New Roman" w:hAnsi="Times New Roman" w:eastAsia="仿宋_GB2312" w:cs="Times New Roman"/>
          <w:sz w:val="32"/>
          <w:szCs w:val="32"/>
        </w:rPr>
        <w:t>万元，主要用</w:t>
      </w:r>
      <w:r>
        <w:rPr>
          <w:rFonts w:hint="eastAsia" w:ascii="Times New Roman" w:hAnsi="Times New Roman" w:eastAsia="仿宋_GB2312" w:cs="Times New Roman"/>
          <w:sz w:val="32"/>
          <w:szCs w:val="32"/>
          <w:lang w:eastAsia="zh-CN"/>
        </w:rPr>
        <w:t>于本年度对禁违拆违治违先进单位及个人奖励；业务工作经费</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164</w:t>
      </w:r>
      <w:r>
        <w:rPr>
          <w:rFonts w:hint="eastAsia" w:ascii="Times New Roman" w:hAnsi="Times New Roman" w:eastAsia="仿宋_GB2312" w:cs="Times New Roman"/>
          <w:sz w:val="32"/>
          <w:szCs w:val="32"/>
        </w:rPr>
        <w:t>万元，主要用于</w:t>
      </w:r>
      <w:r>
        <w:rPr>
          <w:rFonts w:hint="eastAsia" w:ascii="Times New Roman" w:hAnsi="Times New Roman" w:eastAsia="仿宋_GB2312" w:cs="Times New Roman"/>
          <w:sz w:val="32"/>
          <w:szCs w:val="32"/>
          <w:lang w:eastAsia="zh-CN"/>
        </w:rPr>
        <w:t>本单位完成业务工作及属地单位禁违工作经费</w:t>
      </w:r>
      <w:r>
        <w:rPr>
          <w:rFonts w:hint="eastAsia" w:ascii="Times New Roman" w:hAnsi="Times New Roman" w:eastAsia="仿宋_GB2312" w:cs="Times New Roman"/>
          <w:sz w:val="32"/>
          <w:szCs w:val="32"/>
        </w:rPr>
        <w:t>等方面；项目支出较上年</w:t>
      </w:r>
      <w:r>
        <w:rPr>
          <w:rFonts w:hint="eastAsia" w:ascii="Times New Roman" w:hAnsi="Times New Roman" w:eastAsia="仿宋_GB2312" w:cs="Times New Roman"/>
          <w:sz w:val="32"/>
          <w:szCs w:val="32"/>
          <w:lang w:eastAsia="zh-CN"/>
        </w:rPr>
        <w:t>减少</w:t>
      </w:r>
      <w:r>
        <w:rPr>
          <w:rFonts w:hint="eastAsia" w:ascii="Times New Roman" w:hAnsi="Times New Roman" w:eastAsia="仿宋_GB2312" w:cs="Times New Roman"/>
          <w:sz w:val="32"/>
          <w:szCs w:val="32"/>
          <w:lang w:val="en-US" w:eastAsia="zh-CN"/>
        </w:rPr>
        <w:t>20%</w:t>
      </w:r>
      <w:r>
        <w:rPr>
          <w:rFonts w:hint="eastAsia" w:eastAsia="仿宋_GB2312"/>
          <w:b w:val="0"/>
          <w:bCs/>
          <w:sz w:val="32"/>
          <w:szCs w:val="32"/>
          <w:lang w:val="en-US" w:eastAsia="zh-CN"/>
        </w:rPr>
        <w:t>主要原因是坚决落实过紧日子要求，按比上年压减20%标准控制本年业务工作经费支出预算，降低了行政成本</w:t>
      </w:r>
      <w:r>
        <w:rPr>
          <w:rFonts w:hint="eastAsia" w:ascii="Times New Roman" w:hAnsi="Times New Roman" w:eastAsia="仿宋_GB2312" w:cs="Times New Roman"/>
          <w:sz w:val="32"/>
          <w:szCs w:val="32"/>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FF0000"/>
          <w:kern w:val="2"/>
          <w:sz w:val="32"/>
          <w:szCs w:val="32"/>
          <w:shd w:val="clear" w:color="auto" w:fill="FFFFFF"/>
          <w:lang w:val="en-US" w:eastAsia="zh-CN" w:bidi="ar-SA"/>
        </w:rPr>
      </w:pPr>
      <w:r>
        <w:rPr>
          <w:rFonts w:hint="eastAsia" w:eastAsia="仿宋_GB2312"/>
          <w:sz w:val="32"/>
          <w:szCs w:val="32"/>
          <w:lang w:eastAsia="zh-CN"/>
        </w:rPr>
        <w:t>202</w:t>
      </w:r>
      <w:r>
        <w:rPr>
          <w:rFonts w:hint="eastAsia" w:eastAsia="仿宋_GB2312"/>
          <w:sz w:val="32"/>
          <w:szCs w:val="32"/>
          <w:lang w:val="en-US" w:eastAsia="zh-CN"/>
        </w:rPr>
        <w:t>4</w:t>
      </w:r>
      <w:r>
        <w:rPr>
          <w:rFonts w:hint="eastAsia" w:eastAsia="仿宋_GB2312"/>
          <w:sz w:val="32"/>
          <w:szCs w:val="32"/>
        </w:rPr>
        <w:t>年本部门政府性基金支出预算</w:t>
      </w:r>
      <w:r>
        <w:rPr>
          <w:rFonts w:hint="eastAsia" w:eastAsia="仿宋_GB2312"/>
          <w:sz w:val="32"/>
          <w:szCs w:val="32"/>
          <w:lang w:val="en-US" w:eastAsia="zh-CN"/>
        </w:rPr>
        <w:t>17203.08</w:t>
      </w:r>
      <w:r>
        <w:rPr>
          <w:rFonts w:eastAsia="仿宋_GB2312"/>
          <w:sz w:val="32"/>
          <w:szCs w:val="32"/>
        </w:rPr>
        <w:t>万元，其中</w:t>
      </w:r>
      <w:r>
        <w:rPr>
          <w:rFonts w:hint="eastAsia" w:eastAsia="仿宋_GB2312"/>
          <w:sz w:val="32"/>
          <w:szCs w:val="32"/>
          <w:lang w:eastAsia="zh-CN"/>
        </w:rPr>
        <w:t>：城乡社区支出</w:t>
      </w:r>
      <w:r>
        <w:rPr>
          <w:rFonts w:hint="eastAsia" w:eastAsia="仿宋_GB2312"/>
          <w:sz w:val="32"/>
          <w:szCs w:val="32"/>
          <w:lang w:val="en-US" w:eastAsia="zh-CN"/>
        </w:rPr>
        <w:t>17203.08</w:t>
      </w:r>
      <w:r>
        <w:rPr>
          <w:rFonts w:eastAsia="仿宋_GB2312"/>
          <w:sz w:val="32"/>
          <w:szCs w:val="32"/>
        </w:rPr>
        <w:t>万元，占</w:t>
      </w:r>
      <w:r>
        <w:rPr>
          <w:rFonts w:hint="eastAsia" w:eastAsia="仿宋_GB2312"/>
          <w:sz w:val="32"/>
          <w:szCs w:val="32"/>
          <w:lang w:val="en-US" w:eastAsia="zh-CN"/>
        </w:rPr>
        <w:t>100</w:t>
      </w:r>
      <w:r>
        <w:rPr>
          <w:rFonts w:eastAsia="仿宋_GB2312"/>
          <w:sz w:val="32"/>
          <w:szCs w:val="32"/>
        </w:rPr>
        <w:t>%。具体安排情况如下：</w:t>
      </w:r>
      <w:r>
        <w:rPr>
          <w:rFonts w:hint="eastAsia" w:eastAsia="仿宋_GB2312"/>
          <w:sz w:val="32"/>
          <w:szCs w:val="32"/>
          <w:lang w:eastAsia="zh-CN"/>
        </w:rPr>
        <w:t>用于征地和拆迁补偿</w:t>
      </w:r>
      <w:r>
        <w:rPr>
          <w:rFonts w:hint="eastAsia" w:eastAsia="仿宋_GB2312"/>
          <w:sz w:val="32"/>
          <w:szCs w:val="32"/>
          <w:lang w:val="en-US" w:eastAsia="zh-CN"/>
        </w:rPr>
        <w:t>17203.08万元</w:t>
      </w:r>
      <w:r>
        <w:rPr>
          <w:rFonts w:hint="eastAsia" w:eastAsia="仿宋_GB2312"/>
          <w:sz w:val="32"/>
          <w:szCs w:val="32"/>
        </w:rPr>
        <w:t>。与</w:t>
      </w:r>
      <w:r>
        <w:rPr>
          <w:rFonts w:hint="eastAsia"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rPr>
        <w:t>年预算数相比，减</w:t>
      </w:r>
      <w:r>
        <w:rPr>
          <w:rFonts w:hint="eastAsia" w:eastAsia="仿宋_GB2312"/>
          <w:color w:val="auto"/>
          <w:sz w:val="32"/>
          <w:szCs w:val="32"/>
        </w:rPr>
        <w:t>少</w:t>
      </w:r>
      <w:r>
        <w:rPr>
          <w:rFonts w:hint="eastAsia" w:eastAsia="仿宋_GB2312"/>
          <w:color w:val="auto"/>
          <w:sz w:val="32"/>
          <w:szCs w:val="32"/>
          <w:lang w:val="en-US" w:eastAsia="zh-CN"/>
        </w:rPr>
        <w:t>10441.92</w:t>
      </w:r>
      <w:r>
        <w:rPr>
          <w:rFonts w:hint="eastAsia" w:eastAsia="仿宋_GB2312"/>
          <w:color w:val="auto"/>
          <w:sz w:val="32"/>
          <w:szCs w:val="32"/>
        </w:rPr>
        <w:t>万元</w:t>
      </w:r>
      <w:r>
        <w:rPr>
          <w:rFonts w:hint="eastAsia" w:eastAsia="仿宋_GB2312"/>
          <w:sz w:val="32"/>
          <w:szCs w:val="32"/>
        </w:rPr>
        <w:t>，主要原因为</w:t>
      </w:r>
      <w:r>
        <w:rPr>
          <w:rFonts w:hint="eastAsia" w:eastAsia="仿宋_GB2312"/>
          <w:sz w:val="32"/>
          <w:szCs w:val="32"/>
          <w:lang w:eastAsia="zh-CN"/>
        </w:rPr>
        <w:t>减少了项目征地补偿和土地收储资金</w:t>
      </w:r>
      <w:r>
        <w:rPr>
          <w:rFonts w:hint="eastAsia" w:eastAsia="仿宋_GB2312"/>
          <w:sz w:val="32"/>
          <w:szCs w:val="32"/>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2024年本部门机关运行经费21.6万元，比上年预算下降26.18%。主要原因是人员减少，造成公用经费预算减少。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万元，其中，公务接待费0万元，公务用车购置及运行费0万元（其中，公务用车购置费0万元，公务用车运行费0万元），因公出国（境）费0万元。2024年“三公”经费预算较2023年减少10万元，主要原因是严格落实中央“八项规定”精神和“过紧日子”的要求，从严控制“三公”经费支出。</w:t>
      </w:r>
      <w:bookmarkStart w:id="1" w:name="DIS_MARK_IS_ZERO_06_2"/>
      <w:bookmarkEnd w:id="1"/>
      <w:bookmarkStart w:id="2" w:name="START_IS_ZERO_06_2"/>
      <w:bookmarkEnd w:id="2"/>
      <w:bookmarkStart w:id="3" w:name="END_IS_ZERO_06_1"/>
      <w:bookmarkEnd w:id="3"/>
      <w:bookmarkStart w:id="4" w:name="END_IS_ZERO_06_2"/>
      <w:bookmarkEnd w:id="4"/>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会议，人数0人；培训费预算0万元，拟开展0</w:t>
      </w:r>
      <w:r>
        <w:rPr>
          <w:rFonts w:hint="eastAsia" w:ascii="仿宋_GB2312" w:hAnsi="仿宋_GB2312" w:eastAsia="仿宋_GB2312" w:cs="仿宋_GB2312"/>
          <w:color w:val="000000"/>
          <w:sz w:val="32"/>
          <w:szCs w:val="32"/>
          <w:shd w:val="clear" w:color="auto" w:fill="FFFFFF"/>
          <w:lang w:val="en-US" w:eastAsia="zh-CN"/>
        </w:rPr>
        <w:t>次</w:t>
      </w:r>
      <w:r>
        <w:rPr>
          <w:rFonts w:hint="eastAsia" w:ascii="仿宋_GB2312" w:hAnsi="仿宋_GB2312" w:eastAsia="仿宋_GB2312" w:cs="仿宋_GB2312"/>
          <w:color w:val="000000"/>
          <w:kern w:val="2"/>
          <w:sz w:val="32"/>
          <w:szCs w:val="32"/>
          <w:shd w:val="clear" w:color="auto" w:fill="FFFFFF"/>
          <w:lang w:val="en-US" w:eastAsia="zh-CN" w:bidi="ar-SA"/>
        </w:rPr>
        <w:t>培训，人数0人；2024年度本部门未计划举办节庆、晚会、论坛、赛事活动。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auto"/>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（四）政府采购情况：</w:t>
      </w:r>
      <w:r>
        <w:rPr>
          <w:rFonts w:hint="eastAsia" w:ascii="仿宋_GB2312" w:hAnsi="仿宋_GB2312" w:eastAsia="仿宋_GB2312" w:cs="仿宋_GB2312"/>
          <w:color w:val="auto"/>
          <w:kern w:val="2"/>
          <w:sz w:val="32"/>
          <w:szCs w:val="32"/>
          <w:shd w:val="clear" w:color="auto" w:fill="FFFFFF"/>
          <w:lang w:val="en-US" w:eastAsia="zh-CN" w:bidi="ar-SA"/>
        </w:rPr>
        <w:t>2024年本部门政府采购预算总额28.6万元，其中，货物类采购预算28.6万元；工程类采购预算0万元；服务类采购预算0万元。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1辆，其中，机要通信用车0辆，应急保障用车0辆，执法执勤用车1辆，特种专业技术用车0辆，其他按照规定配备的公务用车0辆；单位价值50万元以上设备0台，其中，单位价值100万元以上设备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highlight w:val="none"/>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w:t>
      </w:r>
      <w:r>
        <w:rPr>
          <w:rFonts w:hint="eastAsia" w:ascii="仿宋_GB2312" w:hAnsi="仿宋_GB2312" w:eastAsia="仿宋_GB2312" w:cs="仿宋_GB2312"/>
          <w:color w:val="000000"/>
          <w:kern w:val="2"/>
          <w:sz w:val="32"/>
          <w:szCs w:val="32"/>
          <w:highlight w:val="none"/>
          <w:shd w:val="clear" w:color="auto" w:fill="FFFFFF"/>
          <w:lang w:val="en-US" w:eastAsia="zh-CN" w:bidi="ar-SA"/>
        </w:rPr>
        <w:t>车0辆，特种专业技术用车0辆，其他按照规定配备的公务用0辆；新增配备单位价值50万元以上设备0台，其中，单位价值100万元以上设备0台。</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highlight w:val="none"/>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highlight w:val="none"/>
          <w:shd w:val="clear" w:color="auto" w:fill="FFFFFF"/>
          <w:lang w:val="en-US" w:eastAsia="zh-CN" w:bidi="ar-SA"/>
        </w:rPr>
        <w:t>本部门所有支出实行绩效目标管理。纳入2024年部门整体支出绩效目标的金额为17620.12万元，其中，基本支出229.04万元，项目支出17391.08万元，具体绩效目标详见文尾附表中部门预算公开表21-22表</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bookmarkStart w:id="5" w:name="_GoBack"/>
      <w:bookmarkEnd w:id="5"/>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附件：岳阳市君山区拆迁安置服务中心2024年部门预算公开表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zkxYTllNGUzYWMwZmMyNjFiNTViYzNiYzdlYTAifQ=="/>
  </w:docVars>
  <w:rsids>
    <w:rsidRoot w:val="637274E6"/>
    <w:rsid w:val="03710BCE"/>
    <w:rsid w:val="04A46CA4"/>
    <w:rsid w:val="0626468B"/>
    <w:rsid w:val="06EA640B"/>
    <w:rsid w:val="072440CC"/>
    <w:rsid w:val="0992531D"/>
    <w:rsid w:val="0A0D382D"/>
    <w:rsid w:val="0D8D68F1"/>
    <w:rsid w:val="0DA8096A"/>
    <w:rsid w:val="0E4B58DB"/>
    <w:rsid w:val="0ED939EE"/>
    <w:rsid w:val="0F1663CA"/>
    <w:rsid w:val="0F7E3988"/>
    <w:rsid w:val="122E4F88"/>
    <w:rsid w:val="12F7587D"/>
    <w:rsid w:val="13385187"/>
    <w:rsid w:val="167C1082"/>
    <w:rsid w:val="16B94831"/>
    <w:rsid w:val="1B156429"/>
    <w:rsid w:val="1C744CBF"/>
    <w:rsid w:val="1DB45176"/>
    <w:rsid w:val="1E296AD7"/>
    <w:rsid w:val="1FB750F3"/>
    <w:rsid w:val="200307FA"/>
    <w:rsid w:val="20A420AE"/>
    <w:rsid w:val="213E1D14"/>
    <w:rsid w:val="22CB72A5"/>
    <w:rsid w:val="22DB50DC"/>
    <w:rsid w:val="230C7214"/>
    <w:rsid w:val="241C5C68"/>
    <w:rsid w:val="264178B0"/>
    <w:rsid w:val="27D26288"/>
    <w:rsid w:val="29136248"/>
    <w:rsid w:val="29EC6874"/>
    <w:rsid w:val="2B65068C"/>
    <w:rsid w:val="2BF01473"/>
    <w:rsid w:val="2CB01C1E"/>
    <w:rsid w:val="2D6329A9"/>
    <w:rsid w:val="2E103041"/>
    <w:rsid w:val="2EED4C20"/>
    <w:rsid w:val="2EF502C5"/>
    <w:rsid w:val="2FDE0A0C"/>
    <w:rsid w:val="305B1762"/>
    <w:rsid w:val="305B3D34"/>
    <w:rsid w:val="305C2E10"/>
    <w:rsid w:val="324A2389"/>
    <w:rsid w:val="328F1D91"/>
    <w:rsid w:val="32982A78"/>
    <w:rsid w:val="32C66482"/>
    <w:rsid w:val="33F4478F"/>
    <w:rsid w:val="35683252"/>
    <w:rsid w:val="35D63F1B"/>
    <w:rsid w:val="361C522A"/>
    <w:rsid w:val="36BE748E"/>
    <w:rsid w:val="372419C7"/>
    <w:rsid w:val="38C2711D"/>
    <w:rsid w:val="3951638D"/>
    <w:rsid w:val="3A242018"/>
    <w:rsid w:val="3BDE696C"/>
    <w:rsid w:val="3D170A2F"/>
    <w:rsid w:val="3F116709"/>
    <w:rsid w:val="3F150D8C"/>
    <w:rsid w:val="403F2E01"/>
    <w:rsid w:val="40F27BBC"/>
    <w:rsid w:val="44C24001"/>
    <w:rsid w:val="4555609A"/>
    <w:rsid w:val="47424E1F"/>
    <w:rsid w:val="47E411CF"/>
    <w:rsid w:val="490966A2"/>
    <w:rsid w:val="49B605D8"/>
    <w:rsid w:val="4AD36F68"/>
    <w:rsid w:val="4ADD73C0"/>
    <w:rsid w:val="4B2F2219"/>
    <w:rsid w:val="4B8646B9"/>
    <w:rsid w:val="4BC03402"/>
    <w:rsid w:val="4DBF1A26"/>
    <w:rsid w:val="4EE728E7"/>
    <w:rsid w:val="4F952407"/>
    <w:rsid w:val="4FCF0D25"/>
    <w:rsid w:val="50F15C03"/>
    <w:rsid w:val="51066F16"/>
    <w:rsid w:val="51B004D2"/>
    <w:rsid w:val="52241F08"/>
    <w:rsid w:val="54244912"/>
    <w:rsid w:val="56301712"/>
    <w:rsid w:val="574216FD"/>
    <w:rsid w:val="576A0C54"/>
    <w:rsid w:val="57D973F1"/>
    <w:rsid w:val="58A12453"/>
    <w:rsid w:val="5A380B96"/>
    <w:rsid w:val="5D647EF4"/>
    <w:rsid w:val="5DE306BB"/>
    <w:rsid w:val="5F3F29C6"/>
    <w:rsid w:val="606C6C2F"/>
    <w:rsid w:val="637274E6"/>
    <w:rsid w:val="63894210"/>
    <w:rsid w:val="64C7681D"/>
    <w:rsid w:val="65082807"/>
    <w:rsid w:val="662F72F1"/>
    <w:rsid w:val="66B263EF"/>
    <w:rsid w:val="66C148BB"/>
    <w:rsid w:val="6B12567A"/>
    <w:rsid w:val="6B49147A"/>
    <w:rsid w:val="6BCB1016"/>
    <w:rsid w:val="6C0749A4"/>
    <w:rsid w:val="6C5E2742"/>
    <w:rsid w:val="6CB542C8"/>
    <w:rsid w:val="6CC62031"/>
    <w:rsid w:val="70AE175A"/>
    <w:rsid w:val="721F6E5B"/>
    <w:rsid w:val="72860C2E"/>
    <w:rsid w:val="728C4B01"/>
    <w:rsid w:val="729A1F96"/>
    <w:rsid w:val="72A900B1"/>
    <w:rsid w:val="739C7F8F"/>
    <w:rsid w:val="73BE1EBD"/>
    <w:rsid w:val="741B089F"/>
    <w:rsid w:val="775748F9"/>
    <w:rsid w:val="78CC0C1A"/>
    <w:rsid w:val="791A5BDE"/>
    <w:rsid w:val="7AFB04E9"/>
    <w:rsid w:val="7B4B6055"/>
    <w:rsid w:val="7C9338B5"/>
    <w:rsid w:val="7EBE525E"/>
    <w:rsid w:val="7FF0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Administrator\Desktop\&#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Pt>
            <c:idx val="1"/>
            <c:bubble3D val="0"/>
            <c:spPr>
              <a:ln w="15875" cmpd="sng">
                <a:solidFill>
                  <a:schemeClr val="bg1"/>
                </a:solidFill>
                <a:prstDash val="solid"/>
              </a:ln>
              <a:effectLst/>
              <a:scene3d>
                <a:camera prst="orthographicFront"/>
                <a:lightRig rig="threePt" dir="t"/>
              </a:scene3d>
              <a:sp3d contourW="15875" prstMaterial="flat"/>
            </c:spPr>
          </c:dPt>
          <c:dLbls>
            <c:dLbl>
              <c:idx val="0"/>
              <c:layout/>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[收入预算图.xlsx]Sheet1!$B$31:$B$32</c:f>
              <c:strCache>
                <c:ptCount val="2"/>
                <c:pt idx="0">
                  <c:v>一般公共预算拨款收入</c:v>
                </c:pt>
                <c:pt idx="1">
                  <c:v>政府性基金预算资金</c:v>
                </c:pt>
              </c:strCache>
            </c:strRef>
          </c:cat>
          <c:val>
            <c:numRef>
              <c:f>[收入预算图.xlsx]Sheet1!$C$31:$C$32</c:f>
              <c:numCache>
                <c:formatCode>0.00%</c:formatCode>
                <c:ptCount val="2"/>
                <c:pt idx="0">
                  <c:v>0.0237</c:v>
                </c:pt>
                <c:pt idx="1">
                  <c:v>0.9763</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115753557121149"/>
          <c:y val="0.365522640710961"/>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Pt>
            <c:idx val="4"/>
            <c:bubble3D val="0"/>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a:scene3d>
                <a:camera prst="orthographicFront"/>
                <a:lightRig rig="threePt" dir="t"/>
              </a:scene3d>
              <a:sp3d contourW="9525"/>
            </c:spPr>
          </c:dPt>
          <c:dPt>
            <c:idx val="5"/>
            <c:bubble3D val="0"/>
            <c:spPr>
              <a:gradFill>
                <a:gsLst>
                  <a:gs pos="100000">
                    <a:schemeClr val="accent6"/>
                  </a:gs>
                  <a:gs pos="0">
                    <a:schemeClr val="accent6">
                      <a:hueOff val="-1670000"/>
                    </a:schemeClr>
                  </a:gs>
                </a:gsLst>
                <a:lin ang="5400000" scaled="0"/>
              </a:gradFill>
              <a:ln>
                <a:gradFill>
                  <a:gsLst>
                    <a:gs pos="100000">
                      <a:schemeClr val="accent6">
                        <a:lumMod val="75000"/>
                      </a:schemeClr>
                    </a:gs>
                    <a:gs pos="0">
                      <a:schemeClr val="accent6">
                        <a:lumMod val="75000"/>
                        <a:hueOff val="-1670000"/>
                      </a:schemeClr>
                    </a:gs>
                  </a:gsLst>
                  <a:lin ang="4620000" scaled="0"/>
                </a:gradFill>
              </a:ln>
              <a:effectLst/>
              <a:scene3d>
                <a:camera prst="orthographicFront"/>
                <a:lightRig rig="threePt" dir="t"/>
              </a:scene3d>
              <a:sp3d contourW="9525"/>
            </c:spPr>
          </c:dPt>
          <c:dLbls>
            <c:dLbl>
              <c:idx val="0"/>
              <c:layout>
                <c:manualLayout>
                  <c:x val="-0.19995736006075"/>
                  <c:y val="-0.032432238352540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92287838975576"/>
                  <c:y val="0.016557278473896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7291854650271"/>
                  <c:y val="-0.116992867790304"/>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432334484273819"/>
                  <c:y val="0.156968811849895"/>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[收入预算图.xlsx]Sheet1!$B$2:$B$7</c:f>
              <c:strCache>
                <c:ptCount val="6"/>
                <c:pt idx="0">
                  <c:v>社会保障和就业支出</c:v>
                </c:pt>
                <c:pt idx="1">
                  <c:v>卫生健康支出</c:v>
                </c:pt>
                <c:pt idx="3">
                  <c:v>住房保障支出</c:v>
                </c:pt>
                <c:pt idx="4">
                  <c:v>城乡社区支出</c:v>
                </c:pt>
              </c:strCache>
            </c:strRef>
          </c:cat>
          <c:val>
            <c:numRef>
              <c:f>[收入预算图.xlsx]Sheet1!$C$2:$C$7</c:f>
              <c:numCache>
                <c:formatCode>0.00%</c:formatCode>
                <c:ptCount val="6"/>
                <c:pt idx="0">
                  <c:v>0.00139999999999996</c:v>
                </c:pt>
                <c:pt idx="1">
                  <c:v>0.0006</c:v>
                </c:pt>
                <c:pt idx="3">
                  <c:v>0.001</c:v>
                </c:pt>
                <c:pt idx="4">
                  <c:v>0.997</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4027</Words>
  <Characters>4377</Characters>
  <Lines>0</Lines>
  <Paragraphs>0</Paragraphs>
  <TotalTime>3</TotalTime>
  <ScaleCrop>false</ScaleCrop>
  <LinksUpToDate>false</LinksUpToDate>
  <CharactersWithSpaces>4384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Administrator</cp:lastModifiedBy>
  <dcterms:modified xsi:type="dcterms:W3CDTF">2024-06-14T14:21:46Z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162E544386AE4D92BF8D6E0D87531EEF_13</vt:lpwstr>
  </property>
</Properties>
</file>