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p>
    <w:p>
      <w:pPr>
        <w:spacing w:line="570" w:lineRule="atLeast"/>
        <w:jc w:val="center"/>
        <w:rPr>
          <w:rFonts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岳阳市君山区应急管理局</w:t>
      </w:r>
    </w:p>
    <w:p>
      <w:pPr>
        <w:spacing w:line="570" w:lineRule="atLeast"/>
        <w:jc w:val="center"/>
        <w:rPr>
          <w:rFonts w:ascii="黑体" w:hAnsi="黑体" w:eastAsia="黑体" w:cs="黑体"/>
          <w:b/>
          <w:bCs/>
          <w:sz w:val="48"/>
          <w:szCs w:val="48"/>
        </w:rPr>
      </w:pPr>
      <w:r>
        <w:rPr>
          <w:rFonts w:hint="eastAsia" w:ascii="方正小标宋简体" w:hAnsi="方正小标宋简体" w:eastAsia="方正小标宋简体" w:cs="方正小标宋简体"/>
          <w:b/>
          <w:bCs/>
          <w:sz w:val="44"/>
          <w:szCs w:val="44"/>
        </w:rPr>
        <w:t>2024年部门预算公开</w:t>
      </w:r>
    </w:p>
    <w:p>
      <w:pPr>
        <w:jc w:val="cente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p>
    <w:p>
      <w:pPr>
        <w:widowControl/>
        <w:spacing w:line="570" w:lineRule="atLeast"/>
        <w:rPr>
          <w:rFonts w:ascii="Times New Roman" w:hAnsi="Times New Roman" w:eastAsia="黑体" w:cs="Times New Roman"/>
          <w:b/>
          <w:kern w:val="0"/>
          <w:sz w:val="36"/>
          <w:szCs w:val="36"/>
        </w:rPr>
      </w:pPr>
    </w:p>
    <w:p>
      <w:pPr>
        <w:pStyle w:val="2"/>
        <w:rPr>
          <w:rFonts w:ascii="Times New Roman" w:hAnsi="Times New Roman" w:eastAsia="黑体" w:cs="Times New Roman"/>
          <w:b/>
          <w:kern w:val="0"/>
          <w:sz w:val="36"/>
          <w:szCs w:val="36"/>
        </w:rPr>
      </w:pPr>
    </w:p>
    <w:p>
      <w:pPr>
        <w:pStyle w:val="2"/>
        <w:rPr>
          <w:rFonts w:ascii="Times New Roman" w:hAnsi="Times New Roman" w:eastAsia="黑体" w:cs="Times New Roman"/>
          <w:b/>
          <w:kern w:val="0"/>
          <w:sz w:val="36"/>
          <w:szCs w:val="36"/>
        </w:rPr>
      </w:pPr>
    </w:p>
    <w:p>
      <w:pPr>
        <w:pStyle w:val="2"/>
        <w:rPr>
          <w:rFonts w:ascii="Times New Roman" w:hAnsi="Times New Roman" w:eastAsia="黑体" w:cs="Times New Roman"/>
          <w:b/>
          <w:kern w:val="0"/>
          <w:sz w:val="36"/>
          <w:szCs w:val="36"/>
        </w:rPr>
      </w:pPr>
    </w:p>
    <w:p>
      <w:pPr>
        <w:pStyle w:val="2"/>
        <w:rPr>
          <w:rFonts w:ascii="Times New Roman" w:hAnsi="Times New Roman" w:eastAsia="黑体" w:cs="Times New Roman"/>
          <w:b/>
          <w:kern w:val="0"/>
          <w:sz w:val="36"/>
          <w:szCs w:val="36"/>
        </w:rPr>
      </w:pPr>
    </w:p>
    <w:p>
      <w:pPr>
        <w:widowControl/>
        <w:spacing w:line="570" w:lineRule="atLeast"/>
        <w:jc w:val="center"/>
        <w:rPr>
          <w:rFonts w:ascii="Times New Roman" w:hAnsi="Times New Roman" w:eastAsia="黑体" w:cs="Times New Roman"/>
          <w:b/>
          <w:kern w:val="0"/>
          <w:sz w:val="36"/>
          <w:szCs w:val="36"/>
        </w:rPr>
      </w:pPr>
      <w:r>
        <w:rPr>
          <w:rFonts w:hint="eastAsia" w:ascii="Times New Roman" w:hAnsi="Times New Roman" w:eastAsia="黑体" w:cs="Times New Roman"/>
          <w:b/>
          <w:kern w:val="0"/>
          <w:sz w:val="36"/>
          <w:szCs w:val="36"/>
        </w:rPr>
        <w:t>目 录</w:t>
      </w:r>
    </w:p>
    <w:p>
      <w:pPr>
        <w:widowControl/>
        <w:spacing w:line="570" w:lineRule="atLeast"/>
        <w:ind w:firstLine="630" w:firstLineChars="196"/>
        <w:rPr>
          <w:rFonts w:ascii="黑体" w:hAnsi="黑体" w:eastAsia="黑体" w:cs="黑体"/>
          <w:b/>
          <w:bCs/>
          <w:kern w:val="0"/>
          <w:sz w:val="32"/>
          <w:szCs w:val="32"/>
        </w:rPr>
      </w:pPr>
      <w:r>
        <w:rPr>
          <w:rFonts w:hint="eastAsia" w:ascii="黑体" w:hAnsi="黑体" w:eastAsia="黑体" w:cs="黑体"/>
          <w:b/>
          <w:bCs/>
          <w:kern w:val="0"/>
          <w:sz w:val="32"/>
          <w:szCs w:val="32"/>
        </w:rPr>
        <w:t>第一部分 2024年部门预算说明</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一、部门基本概况</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二、部门预算单位构成</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三、部门收支总体情况</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四、一般公共预算拨款支出</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五、政府性基金预算支出</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六、其他重要事项的情况说明</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七、名词解释</w:t>
      </w:r>
    </w:p>
    <w:p>
      <w:pPr>
        <w:ind w:firstLine="643" w:firstLineChars="200"/>
        <w:rPr>
          <w:rFonts w:eastAsia="黑体" w:asciiTheme="minorEastAsia" w:hAnsiTheme="minorEastAsia" w:cstheme="minorEastAsia"/>
          <w:sz w:val="28"/>
          <w:szCs w:val="28"/>
        </w:rPr>
      </w:pPr>
      <w:r>
        <w:rPr>
          <w:rFonts w:hint="eastAsia" w:ascii="黑体" w:hAnsi="黑体" w:eastAsia="黑体" w:cs="黑体"/>
          <w:b/>
          <w:bCs/>
          <w:kern w:val="0"/>
          <w:sz w:val="32"/>
          <w:szCs w:val="32"/>
        </w:rPr>
        <w:t>第二部分 2024年部门预算表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jc w:val="center"/>
        <w:rPr>
          <w:rFonts w:asciiTheme="minorEastAsia" w:hAnsiTheme="minorEastAsia" w:cstheme="minorEastAsia"/>
          <w:b/>
          <w:bCs/>
          <w:sz w:val="28"/>
          <w:szCs w:val="28"/>
        </w:rPr>
      </w:pPr>
    </w:p>
    <w:p>
      <w:pPr>
        <w:jc w:val="center"/>
        <w:rPr>
          <w:rFonts w:ascii="Times New Roman" w:hAnsi="Times New Roman" w:eastAsia="方正小标宋_GBK" w:cs="Times New Roman"/>
          <w:b/>
          <w:bCs/>
          <w:kern w:val="0"/>
          <w:sz w:val="36"/>
          <w:szCs w:val="36"/>
        </w:rPr>
      </w:pPr>
      <w:r>
        <w:rPr>
          <w:rFonts w:hint="eastAsia" w:ascii="Times New Roman" w:hAnsi="Times New Roman" w:eastAsia="方正小标宋_GBK" w:cs="Times New Roman"/>
          <w:b/>
          <w:bCs/>
          <w:kern w:val="0"/>
          <w:sz w:val="36"/>
          <w:szCs w:val="36"/>
        </w:rPr>
        <w:t>第一部分 部门预算公开说明</w:t>
      </w:r>
    </w:p>
    <w:p>
      <w:pPr>
        <w:widowControl/>
        <w:spacing w:line="570" w:lineRule="atLeast"/>
        <w:ind w:firstLine="643" w:firstLineChars="200"/>
        <w:rPr>
          <w:rFonts w:ascii="Times New Roman" w:hAnsi="Times New Roman" w:eastAsia="黑体" w:cs="Times New Roman"/>
          <w:b/>
          <w:bCs/>
          <w:kern w:val="0"/>
          <w:sz w:val="32"/>
          <w:szCs w:val="32"/>
        </w:rPr>
      </w:pP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一、部门基本概况</w:t>
      </w:r>
    </w:p>
    <w:p>
      <w:pPr>
        <w:spacing w:line="570" w:lineRule="atLeast"/>
        <w:ind w:firstLine="643" w:firstLineChars="200"/>
        <w:rPr>
          <w:rFonts w:ascii="仿宋_GB2312" w:hAnsi="仿宋_GB2312" w:eastAsia="仿宋_GB2312" w:cs="仿宋_GB2312"/>
          <w:b/>
          <w:bCs/>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（一）职能职责</w:t>
      </w:r>
    </w:p>
    <w:p>
      <w:pPr>
        <w:pStyle w:val="6"/>
        <w:widowControl/>
        <w:shd w:val="clear" w:color="auto" w:fill="FFFFFF"/>
        <w:spacing w:beforeAutospacing="0" w:afterAutospacing="0" w:line="17" w:lineRule="atLeast"/>
        <w:ind w:firstLine="640" w:firstLineChars="200"/>
        <w:jc w:val="both"/>
        <w:rPr>
          <w:rFonts w:eastAsia="仿宋_GB2312" w:cstheme="minorBidi"/>
          <w:kern w:val="2"/>
          <w:sz w:val="32"/>
          <w:szCs w:val="32"/>
        </w:rPr>
      </w:pPr>
      <w:r>
        <w:rPr>
          <w:rFonts w:hint="eastAsia" w:eastAsia="仿宋_GB2312" w:cstheme="minorBidi"/>
          <w:kern w:val="2"/>
          <w:sz w:val="32"/>
          <w:szCs w:val="32"/>
        </w:rPr>
        <w:t>1.按照区应急管理部门制定的全区安全生产和防汛抗旱有关管理制度和规定具体组织落实，宣传贯彻安全生产和防汛抗旱有关法律法规。</w:t>
      </w:r>
    </w:p>
    <w:p>
      <w:pPr>
        <w:pStyle w:val="6"/>
        <w:widowControl/>
        <w:shd w:val="clear" w:color="auto" w:fill="FFFFFF"/>
        <w:spacing w:beforeAutospacing="0" w:afterAutospacing="0" w:line="17" w:lineRule="atLeast"/>
        <w:jc w:val="both"/>
        <w:rPr>
          <w:rFonts w:eastAsia="仿宋_GB2312" w:cstheme="minorBidi"/>
          <w:kern w:val="2"/>
          <w:sz w:val="32"/>
          <w:szCs w:val="32"/>
        </w:rPr>
      </w:pPr>
      <w:r>
        <w:rPr>
          <w:rFonts w:hint="eastAsia" w:eastAsia="仿宋_GB2312" w:cstheme="minorBidi"/>
          <w:kern w:val="2"/>
          <w:sz w:val="32"/>
          <w:szCs w:val="32"/>
        </w:rPr>
        <w:t>　　2.落实全区生产安全事故和防汛抗旱灾害应急救援工作。负责维护、保护好现有应急救援救灾物资，保证应急使用，并在租用和使用过程中做到保值增值。</w:t>
      </w:r>
    </w:p>
    <w:p>
      <w:pPr>
        <w:pStyle w:val="6"/>
        <w:widowControl/>
        <w:shd w:val="clear" w:color="auto" w:fill="FFFFFF"/>
        <w:spacing w:beforeAutospacing="0" w:afterAutospacing="0" w:line="17" w:lineRule="atLeast"/>
        <w:jc w:val="both"/>
        <w:rPr>
          <w:rFonts w:eastAsia="仿宋_GB2312" w:cstheme="minorBidi"/>
          <w:kern w:val="2"/>
          <w:sz w:val="32"/>
          <w:szCs w:val="32"/>
        </w:rPr>
      </w:pPr>
      <w:r>
        <w:rPr>
          <w:rFonts w:hint="eastAsia" w:eastAsia="仿宋_GB2312" w:cstheme="minorBidi"/>
          <w:kern w:val="2"/>
          <w:sz w:val="32"/>
          <w:szCs w:val="32"/>
        </w:rPr>
        <w:t>　　3.按照应急管理部门制定的应急预案，落实应急救援演练计划；负责到灾区进行应急救援工作，积极帮助群众解决实际困难。</w:t>
      </w:r>
    </w:p>
    <w:p>
      <w:pPr>
        <w:pStyle w:val="6"/>
        <w:widowControl/>
        <w:shd w:val="clear" w:color="auto" w:fill="FFFFFF"/>
        <w:spacing w:beforeAutospacing="0" w:afterAutospacing="0" w:line="17" w:lineRule="atLeast"/>
        <w:jc w:val="both"/>
        <w:rPr>
          <w:rFonts w:eastAsia="仿宋_GB2312" w:cstheme="minorBidi"/>
          <w:kern w:val="2"/>
          <w:sz w:val="32"/>
          <w:szCs w:val="32"/>
        </w:rPr>
      </w:pPr>
      <w:r>
        <w:rPr>
          <w:rFonts w:hint="eastAsia" w:eastAsia="仿宋_GB2312" w:cstheme="minorBidi"/>
          <w:kern w:val="2"/>
          <w:sz w:val="32"/>
          <w:szCs w:val="32"/>
        </w:rPr>
        <w:t>　　4.根据各镇（街道）、场和区直有关部门应急救援指挥机构的要求，协调有关应急救援力量和设备设施参加事故救援；根据法律法规或区应急管理部门指令参与一般生产安全事故应急救援工作。</w:t>
      </w:r>
    </w:p>
    <w:p>
      <w:pPr>
        <w:pStyle w:val="6"/>
        <w:widowControl/>
        <w:shd w:val="clear" w:color="auto" w:fill="FFFFFF"/>
        <w:spacing w:beforeAutospacing="0" w:afterAutospacing="0" w:line="17" w:lineRule="atLeast"/>
        <w:jc w:val="both"/>
        <w:rPr>
          <w:rFonts w:eastAsia="仿宋_GB2312" w:cstheme="minorBidi"/>
          <w:kern w:val="2"/>
          <w:sz w:val="32"/>
          <w:szCs w:val="32"/>
        </w:rPr>
      </w:pPr>
      <w:r>
        <w:rPr>
          <w:rFonts w:hint="eastAsia" w:eastAsia="仿宋_GB2312" w:cstheme="minorBidi"/>
          <w:kern w:val="2"/>
          <w:sz w:val="32"/>
          <w:szCs w:val="32"/>
        </w:rPr>
        <w:t>　　5.落实重大危险源监督工作，分析重大危险源监控信息并预测生产安全事故和防汛抗旱灾害风险，及时提出预警信息。</w:t>
      </w:r>
    </w:p>
    <w:p>
      <w:pPr>
        <w:pStyle w:val="6"/>
        <w:widowControl/>
        <w:shd w:val="clear" w:color="auto" w:fill="FFFFFF"/>
        <w:spacing w:beforeAutospacing="0" w:afterAutospacing="0" w:line="17" w:lineRule="atLeast"/>
        <w:jc w:val="both"/>
        <w:rPr>
          <w:rFonts w:eastAsia="仿宋_GB2312" w:cstheme="minorBidi"/>
          <w:kern w:val="2"/>
          <w:sz w:val="32"/>
          <w:szCs w:val="32"/>
        </w:rPr>
      </w:pPr>
      <w:r>
        <w:rPr>
          <w:rFonts w:hint="eastAsia" w:eastAsia="仿宋_GB2312" w:cstheme="minorBidi"/>
          <w:kern w:val="2"/>
          <w:sz w:val="32"/>
          <w:szCs w:val="32"/>
        </w:rPr>
        <w:t>　　6.参与全区安全生产和防汛抗旱应急救援培训、演练工作。</w:t>
      </w:r>
    </w:p>
    <w:p>
      <w:pPr>
        <w:pStyle w:val="6"/>
        <w:widowControl/>
        <w:shd w:val="clear" w:color="auto" w:fill="FFFFFF"/>
        <w:spacing w:beforeAutospacing="0" w:afterAutospacing="0" w:line="17" w:lineRule="atLeast"/>
        <w:jc w:val="both"/>
        <w:rPr>
          <w:rFonts w:eastAsia="仿宋_GB2312" w:cstheme="minorBidi"/>
          <w:kern w:val="2"/>
          <w:sz w:val="32"/>
          <w:szCs w:val="32"/>
        </w:rPr>
      </w:pPr>
      <w:r>
        <w:rPr>
          <w:rFonts w:hint="eastAsia" w:eastAsia="仿宋_GB2312" w:cstheme="minorBidi"/>
          <w:kern w:val="2"/>
          <w:sz w:val="32"/>
          <w:szCs w:val="32"/>
        </w:rPr>
        <w:t>　　7.负责安全生产和防汛抗旱应急救援新科技的咨询、推广及应用工作；负责安全生产和防汛抗旱应急救援专家组服务工作。</w:t>
      </w:r>
    </w:p>
    <w:p>
      <w:pPr>
        <w:pStyle w:val="6"/>
        <w:widowControl/>
        <w:shd w:val="clear" w:color="auto" w:fill="FFFFFF"/>
        <w:spacing w:beforeAutospacing="0" w:afterAutospacing="0" w:line="17" w:lineRule="atLeast"/>
        <w:jc w:val="both"/>
        <w:rPr>
          <w:rFonts w:eastAsia="仿宋_GB2312" w:cstheme="minorBidi"/>
          <w:kern w:val="2"/>
          <w:sz w:val="32"/>
          <w:szCs w:val="32"/>
        </w:rPr>
      </w:pPr>
      <w:r>
        <w:rPr>
          <w:rFonts w:hint="eastAsia" w:eastAsia="仿宋_GB2312" w:cstheme="minorBidi"/>
          <w:kern w:val="2"/>
          <w:sz w:val="32"/>
          <w:szCs w:val="32"/>
        </w:rPr>
        <w:t>　　8.负责参与安全生产和防汛抗旱应急值守工作。负责政府投资的安全生产和防汛抗旱应急救援设备的维护和保养。</w:t>
      </w:r>
    </w:p>
    <w:p>
      <w:pPr>
        <w:pStyle w:val="6"/>
        <w:widowControl/>
        <w:shd w:val="clear" w:color="auto" w:fill="FFFFFF"/>
        <w:spacing w:beforeAutospacing="0" w:afterAutospacing="0" w:line="17" w:lineRule="atLeast"/>
        <w:jc w:val="both"/>
        <w:rPr>
          <w:rFonts w:eastAsia="仿宋_GB2312" w:cstheme="minorBidi"/>
          <w:kern w:val="2"/>
          <w:sz w:val="32"/>
          <w:szCs w:val="32"/>
        </w:rPr>
      </w:pPr>
      <w:r>
        <w:rPr>
          <w:rFonts w:hint="eastAsia" w:eastAsia="仿宋_GB2312" w:cstheme="minorBidi"/>
          <w:kern w:val="2"/>
          <w:sz w:val="32"/>
          <w:szCs w:val="32"/>
        </w:rPr>
        <w:t>　　9.落实全区范围内的防汛抗旱应急、中长期防汛抗旱减灾措施，确保防汛抗旱减灾保收工作的正常进行和高效运转。负责全区干旱乡村的人畜饮水及抗旱车辆运水救灾的服务工作。</w:t>
      </w:r>
    </w:p>
    <w:p>
      <w:pPr>
        <w:pStyle w:val="6"/>
        <w:widowControl/>
        <w:shd w:val="clear" w:color="auto" w:fill="FFFFFF"/>
        <w:spacing w:beforeAutospacing="0" w:afterAutospacing="0" w:line="17" w:lineRule="atLeast"/>
        <w:jc w:val="both"/>
        <w:rPr>
          <w:rFonts w:eastAsia="楷体_GB2312"/>
          <w:b/>
          <w:sz w:val="32"/>
          <w:szCs w:val="32"/>
        </w:rPr>
      </w:pPr>
      <w:r>
        <w:rPr>
          <w:rFonts w:hint="eastAsia" w:eastAsia="仿宋_GB2312" w:cstheme="minorBidi"/>
          <w:kern w:val="2"/>
          <w:sz w:val="32"/>
          <w:szCs w:val="32"/>
        </w:rPr>
        <w:t>　　10.承担区应急管理局交办的其他事项。</w:t>
      </w:r>
    </w:p>
    <w:p>
      <w:pPr>
        <w:spacing w:line="570" w:lineRule="atLeast"/>
        <w:ind w:firstLine="643"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（二）机构设置</w:t>
      </w:r>
    </w:p>
    <w:p>
      <w:pPr>
        <w:widowControl/>
        <w:spacing w:line="600" w:lineRule="exact"/>
        <w:ind w:firstLine="640" w:firstLineChars="200"/>
        <w:jc w:val="left"/>
        <w:rPr>
          <w:rFonts w:eastAsia="仿宋_GB2312"/>
          <w:kern w:val="0"/>
          <w:sz w:val="32"/>
          <w:szCs w:val="32"/>
          <w:lang w:bidi="ar"/>
        </w:rPr>
      </w:pPr>
      <w:r>
        <w:rPr>
          <w:rFonts w:hint="eastAsia" w:eastAsia="仿宋_GB2312"/>
          <w:sz w:val="32"/>
          <w:szCs w:val="32"/>
        </w:rPr>
        <w:t>岳阳市君山区应急管理局</w:t>
      </w:r>
      <w:r>
        <w:rPr>
          <w:rFonts w:hint="eastAsia" w:eastAsia="仿宋_GB2312"/>
          <w:kern w:val="0"/>
          <w:sz w:val="32"/>
          <w:szCs w:val="32"/>
          <w:lang w:bidi="ar"/>
        </w:rPr>
        <w:t>设两个内设机构：安全生产综合室和防汛抗旱综合室。编制部门核实应急管理局编制21人，在编在岗2</w:t>
      </w:r>
      <w:r>
        <w:rPr>
          <w:rFonts w:hint="eastAsia" w:eastAsia="仿宋_GB2312"/>
          <w:kern w:val="0"/>
          <w:sz w:val="32"/>
          <w:szCs w:val="32"/>
          <w:lang w:val="en-US" w:eastAsia="zh-CN" w:bidi="ar"/>
        </w:rPr>
        <w:t>0</w:t>
      </w:r>
      <w:r>
        <w:rPr>
          <w:rFonts w:hint="eastAsia" w:eastAsia="仿宋_GB2312"/>
          <w:kern w:val="0"/>
          <w:sz w:val="32"/>
          <w:szCs w:val="32"/>
          <w:lang w:bidi="ar"/>
        </w:rPr>
        <w:t>人。</w:t>
      </w:r>
    </w:p>
    <w:p>
      <w:pPr>
        <w:spacing w:line="570" w:lineRule="atLeast"/>
        <w:ind w:firstLine="643" w:firstLineChars="200"/>
        <w:rPr>
          <w:rFonts w:ascii="仿宋_GB2312" w:hAnsi="仿宋_GB2312" w:eastAsia="仿宋_GB2312" w:cs="仿宋_GB2312"/>
          <w:b/>
          <w:bCs/>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二、部门预算单位构成</w:t>
      </w:r>
    </w:p>
    <w:p>
      <w:pPr>
        <w:pStyle w:val="6"/>
        <w:widowControl/>
        <w:spacing w:beforeAutospacing="0" w:afterAutospacing="0" w:line="22" w:lineRule="atLeast"/>
        <w:ind w:firstLine="640" w:firstLineChars="200"/>
        <w:jc w:val="both"/>
        <w:textAlignment w:val="center"/>
        <w:rPr>
          <w:rFonts w:asciiTheme="minorEastAsia" w:hAnsiTheme="minorEastAsia" w:cstheme="minorEastAsia"/>
          <w:color w:val="333333"/>
          <w:sz w:val="28"/>
          <w:szCs w:val="28"/>
          <w:shd w:val="clear" w:color="auto" w:fill="FFFFFF"/>
        </w:rPr>
      </w:pPr>
      <w:bookmarkStart w:id="0" w:name="DEPT_COMPOSE"/>
      <w:r>
        <w:rPr>
          <w:rFonts w:hint="eastAsia" w:eastAsia="仿宋_GB2312"/>
          <w:sz w:val="32"/>
          <w:szCs w:val="32"/>
        </w:rPr>
        <w:t>岳阳市君山区应急管理局</w:t>
      </w:r>
      <w:r>
        <w:rPr>
          <w:rFonts w:hint="eastAsia" w:ascii="仿宋_GB2312" w:hAnsi="仿宋_GB2312" w:eastAsia="仿宋_GB2312" w:cs="仿宋_GB2312"/>
          <w:color w:val="000000"/>
          <w:kern w:val="2"/>
          <w:sz w:val="32"/>
          <w:szCs w:val="32"/>
          <w:shd w:val="clear" w:color="auto" w:fill="FFFFFF"/>
        </w:rPr>
        <w:t>部门只有本级，没有其他二级预算单位，因此，纳入2024年部门预算编制范围的只有</w:t>
      </w:r>
      <w:r>
        <w:rPr>
          <w:rFonts w:hint="eastAsia" w:eastAsia="仿宋_GB2312"/>
          <w:sz w:val="32"/>
          <w:szCs w:val="32"/>
        </w:rPr>
        <w:t>岳阳市君山区应急管理局</w:t>
      </w:r>
      <w:r>
        <w:rPr>
          <w:rFonts w:hint="eastAsia" w:ascii="仿宋_GB2312" w:hAnsi="仿宋_GB2312" w:eastAsia="仿宋_GB2312" w:cs="仿宋_GB2312"/>
          <w:color w:val="000000"/>
          <w:kern w:val="2"/>
          <w:sz w:val="32"/>
          <w:szCs w:val="32"/>
          <w:shd w:val="clear" w:color="auto" w:fill="FFFFFF"/>
        </w:rPr>
        <w:t>本级。</w:t>
      </w:r>
      <w:bookmarkEnd w:id="0"/>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三、部门收支总体情况</w:t>
      </w: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color w:val="000000"/>
          <w:kern w:val="2"/>
          <w:sz w:val="32"/>
          <w:szCs w:val="32"/>
          <w:shd w:val="clear" w:color="auto" w:fill="FFFFFF"/>
        </w:rPr>
        <w:t>本部门2024年没有政府性基金预算拨款、国有资本经营预算收入和纳入专户管理的非税收入拨款收入，也没有使用政府性基金预算拨款、国有资本经营预算收入和纳入专户管理的非税收入拨款安排的支出，所以公开的附件1</w:t>
      </w:r>
      <w:r>
        <w:rPr>
          <w:rFonts w:hint="eastAsia" w:ascii="仿宋_GB2312" w:hAnsi="仿宋_GB2312" w:eastAsia="仿宋_GB2312" w:cs="仿宋_GB2312"/>
          <w:color w:val="000000"/>
          <w:kern w:val="2"/>
          <w:sz w:val="32"/>
          <w:szCs w:val="32"/>
          <w:shd w:val="clear" w:color="auto" w:fill="FFFFFF"/>
          <w:lang w:val="en-US" w:eastAsia="zh-CN"/>
        </w:rPr>
        <w:t>6</w:t>
      </w:r>
      <w:r>
        <w:rPr>
          <w:rFonts w:hint="eastAsia" w:ascii="仿宋_GB2312" w:hAnsi="仿宋_GB2312" w:eastAsia="仿宋_GB2312" w:cs="仿宋_GB2312"/>
          <w:color w:val="000000"/>
          <w:kern w:val="2"/>
          <w:sz w:val="32"/>
          <w:szCs w:val="32"/>
          <w:shd w:val="clear" w:color="auto" w:fill="FFFFFF"/>
        </w:rPr>
        <w:t>、1</w:t>
      </w:r>
      <w:r>
        <w:rPr>
          <w:rFonts w:hint="eastAsia" w:ascii="仿宋_GB2312" w:hAnsi="仿宋_GB2312" w:eastAsia="仿宋_GB2312" w:cs="仿宋_GB2312"/>
          <w:color w:val="000000"/>
          <w:kern w:val="2"/>
          <w:sz w:val="32"/>
          <w:szCs w:val="32"/>
          <w:shd w:val="clear" w:color="auto" w:fill="FFFFFF"/>
          <w:lang w:val="en-US" w:eastAsia="zh-CN"/>
        </w:rPr>
        <w:t>7</w:t>
      </w:r>
      <w:r>
        <w:rPr>
          <w:rFonts w:hint="eastAsia" w:ascii="仿宋_GB2312" w:hAnsi="仿宋_GB2312" w:eastAsia="仿宋_GB2312" w:cs="仿宋_GB2312"/>
          <w:color w:val="000000"/>
          <w:kern w:val="2"/>
          <w:sz w:val="32"/>
          <w:szCs w:val="32"/>
          <w:shd w:val="clear" w:color="auto" w:fill="FFFFFF"/>
        </w:rPr>
        <w:t>、1</w:t>
      </w:r>
      <w:r>
        <w:rPr>
          <w:rFonts w:hint="eastAsia" w:ascii="仿宋_GB2312" w:hAnsi="仿宋_GB2312" w:eastAsia="仿宋_GB2312" w:cs="仿宋_GB2312"/>
          <w:color w:val="000000"/>
          <w:kern w:val="2"/>
          <w:sz w:val="32"/>
          <w:szCs w:val="32"/>
          <w:shd w:val="clear" w:color="auto" w:fill="FFFFFF"/>
          <w:lang w:val="en-US" w:eastAsia="zh-CN"/>
        </w:rPr>
        <w:t>8</w:t>
      </w:r>
      <w:r>
        <w:rPr>
          <w:rFonts w:hint="eastAsia" w:ascii="仿宋_GB2312" w:hAnsi="仿宋_GB2312" w:eastAsia="仿宋_GB2312" w:cs="仿宋_GB2312"/>
          <w:color w:val="000000"/>
          <w:kern w:val="2"/>
          <w:sz w:val="32"/>
          <w:szCs w:val="32"/>
          <w:shd w:val="clear" w:color="auto" w:fill="FFFFFF"/>
        </w:rPr>
        <w:t>、1</w:t>
      </w:r>
      <w:r>
        <w:rPr>
          <w:rFonts w:hint="eastAsia" w:ascii="仿宋_GB2312" w:hAnsi="仿宋_GB2312" w:eastAsia="仿宋_GB2312" w:cs="仿宋_GB2312"/>
          <w:color w:val="000000"/>
          <w:kern w:val="2"/>
          <w:sz w:val="32"/>
          <w:szCs w:val="32"/>
          <w:shd w:val="clear" w:color="auto" w:fill="FFFFFF"/>
          <w:lang w:val="en-US" w:eastAsia="zh-CN"/>
        </w:rPr>
        <w:t>9</w:t>
      </w:r>
      <w:r>
        <w:rPr>
          <w:rFonts w:hint="eastAsia" w:ascii="仿宋_GB2312" w:hAnsi="仿宋_GB2312" w:eastAsia="仿宋_GB2312" w:cs="仿宋_GB2312"/>
          <w:color w:val="000000"/>
          <w:kern w:val="2"/>
          <w:sz w:val="32"/>
          <w:szCs w:val="32"/>
          <w:shd w:val="clear" w:color="auto" w:fill="FFFFFF"/>
        </w:rPr>
        <w:t>、</w:t>
      </w:r>
      <w:r>
        <w:rPr>
          <w:rFonts w:hint="eastAsia" w:ascii="仿宋_GB2312" w:hAnsi="仿宋_GB2312" w:eastAsia="仿宋_GB2312" w:cs="仿宋_GB2312"/>
          <w:color w:val="000000"/>
          <w:kern w:val="2"/>
          <w:sz w:val="32"/>
          <w:szCs w:val="32"/>
          <w:shd w:val="clear" w:color="auto" w:fill="FFFFFF"/>
          <w:lang w:val="en-US" w:eastAsia="zh-CN"/>
        </w:rPr>
        <w:t>20</w:t>
      </w:r>
      <w:r>
        <w:rPr>
          <w:rFonts w:hint="eastAsia" w:ascii="仿宋_GB2312" w:hAnsi="仿宋_GB2312" w:eastAsia="仿宋_GB2312" w:cs="仿宋_GB2312"/>
          <w:color w:val="000000"/>
          <w:kern w:val="2"/>
          <w:sz w:val="32"/>
          <w:szCs w:val="32"/>
          <w:shd w:val="clear" w:color="auto" w:fill="FFFFFF"/>
        </w:rPr>
        <w:t>表均为空。</w:t>
      </w:r>
    </w:p>
    <w:p>
      <w:pPr>
        <w:pStyle w:val="6"/>
        <w:widowControl/>
        <w:numPr>
          <w:ilvl w:val="0"/>
          <w:numId w:val="1"/>
        </w:numPr>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Times New Roman" w:hAnsi="Times New Roman" w:eastAsia="仿宋_GB2312"/>
          <w:b/>
          <w:kern w:val="2"/>
          <w:sz w:val="32"/>
          <w:szCs w:val="32"/>
        </w:rPr>
        <w:t>收入预算：</w:t>
      </w:r>
      <w:r>
        <w:rPr>
          <w:rFonts w:hint="eastAsia" w:ascii="仿宋_GB2312" w:hAnsi="仿宋_GB2312" w:eastAsia="仿宋_GB2312" w:cs="仿宋_GB2312"/>
          <w:color w:val="000000"/>
          <w:kern w:val="2"/>
          <w:sz w:val="32"/>
          <w:szCs w:val="32"/>
          <w:shd w:val="clear" w:color="auto" w:fill="FFFFFF"/>
        </w:rPr>
        <w:t>包括一般公共预算、政府性基金、国有资本经营预算等财政拨款收入，以及经营收入、事业收入等单位资金。2024年本部门收入预算529.9万元，其中，一般公共预算拨款529.9万元，政府性基金预算资金0.00万元(所以公开的附件1</w:t>
      </w:r>
      <w:r>
        <w:rPr>
          <w:rFonts w:hint="eastAsia" w:ascii="仿宋_GB2312" w:hAnsi="仿宋_GB2312" w:eastAsia="仿宋_GB2312" w:cs="仿宋_GB2312"/>
          <w:color w:val="000000"/>
          <w:kern w:val="2"/>
          <w:sz w:val="32"/>
          <w:szCs w:val="32"/>
          <w:shd w:val="clear" w:color="auto" w:fill="FFFFFF"/>
          <w:lang w:val="en-US" w:eastAsia="zh-CN"/>
        </w:rPr>
        <w:t>6</w:t>
      </w:r>
      <w:r>
        <w:rPr>
          <w:rFonts w:hint="eastAsia" w:ascii="仿宋_GB2312" w:hAnsi="仿宋_GB2312" w:eastAsia="仿宋_GB2312" w:cs="仿宋_GB2312"/>
          <w:color w:val="000000"/>
          <w:kern w:val="2"/>
          <w:sz w:val="32"/>
          <w:szCs w:val="32"/>
          <w:shd w:val="clear" w:color="auto" w:fill="FFFFFF"/>
        </w:rPr>
        <w:t>-1</w:t>
      </w:r>
      <w:r>
        <w:rPr>
          <w:rFonts w:hint="eastAsia" w:ascii="仿宋_GB2312" w:hAnsi="仿宋_GB2312" w:eastAsia="仿宋_GB2312" w:cs="仿宋_GB2312"/>
          <w:color w:val="000000"/>
          <w:kern w:val="2"/>
          <w:sz w:val="32"/>
          <w:szCs w:val="32"/>
          <w:shd w:val="clear" w:color="auto" w:fill="FFFFFF"/>
          <w:lang w:val="en-US" w:eastAsia="zh-CN"/>
        </w:rPr>
        <w:t>8</w:t>
      </w:r>
      <w:r>
        <w:rPr>
          <w:rFonts w:hint="eastAsia" w:ascii="仿宋_GB2312" w:hAnsi="仿宋_GB2312" w:eastAsia="仿宋_GB2312" w:cs="仿宋_GB2312"/>
          <w:color w:val="000000"/>
          <w:kern w:val="2"/>
          <w:sz w:val="32"/>
          <w:szCs w:val="32"/>
          <w:shd w:val="clear" w:color="auto" w:fill="FFFFFF"/>
        </w:rPr>
        <w:t>表为空)，国有资本经营预算资金0.00万元(所以公开的附件1</w:t>
      </w:r>
      <w:r>
        <w:rPr>
          <w:rFonts w:hint="eastAsia" w:ascii="仿宋_GB2312" w:hAnsi="仿宋_GB2312" w:eastAsia="仿宋_GB2312" w:cs="仿宋_GB2312"/>
          <w:color w:val="000000"/>
          <w:kern w:val="2"/>
          <w:sz w:val="32"/>
          <w:szCs w:val="32"/>
          <w:shd w:val="clear" w:color="auto" w:fill="FFFFFF"/>
          <w:lang w:val="en-US" w:eastAsia="zh-CN"/>
        </w:rPr>
        <w:t>9</w:t>
      </w:r>
      <w:r>
        <w:rPr>
          <w:rFonts w:hint="eastAsia" w:ascii="仿宋_GB2312" w:hAnsi="仿宋_GB2312" w:eastAsia="仿宋_GB2312" w:cs="仿宋_GB2312"/>
          <w:color w:val="000000"/>
          <w:kern w:val="2"/>
          <w:sz w:val="32"/>
          <w:szCs w:val="32"/>
          <w:shd w:val="clear" w:color="auto" w:fill="FFFFFF"/>
        </w:rPr>
        <w:t>表为空)，财政专户管理资金0.00万元(所以公开的附件</w:t>
      </w:r>
      <w:r>
        <w:rPr>
          <w:rFonts w:hint="eastAsia" w:ascii="仿宋_GB2312" w:hAnsi="仿宋_GB2312" w:eastAsia="仿宋_GB2312" w:cs="仿宋_GB2312"/>
          <w:color w:val="000000"/>
          <w:kern w:val="2"/>
          <w:sz w:val="32"/>
          <w:szCs w:val="32"/>
          <w:shd w:val="clear" w:color="auto" w:fill="FFFFFF"/>
          <w:lang w:val="en-US" w:eastAsia="zh-CN"/>
        </w:rPr>
        <w:t>20</w:t>
      </w:r>
      <w:r>
        <w:rPr>
          <w:rFonts w:hint="eastAsia" w:ascii="仿宋_GB2312" w:hAnsi="仿宋_GB2312" w:eastAsia="仿宋_GB2312" w:cs="仿宋_GB2312"/>
          <w:color w:val="000000"/>
          <w:kern w:val="2"/>
          <w:sz w:val="32"/>
          <w:szCs w:val="32"/>
          <w:shd w:val="clear" w:color="auto" w:fill="FFFFFF"/>
        </w:rPr>
        <w:t>表为空)，上级补助收入资金0.00万元，事业单位经营收入资金0.00万元，上年结转结余0.00万元。收入较上年减少330.6万元，下降38.42%。主要原因是</w:t>
      </w:r>
      <w:r>
        <w:rPr>
          <w:rFonts w:hint="eastAsia" w:ascii="仿宋_GB2312" w:hAnsi="仿宋_GB2312" w:eastAsia="仿宋_GB2312" w:cs="仿宋_GB2312"/>
          <w:color w:val="000000"/>
          <w:kern w:val="2"/>
          <w:sz w:val="32"/>
          <w:szCs w:val="32"/>
          <w:shd w:val="clear" w:color="auto" w:fill="FFFFFF"/>
          <w:lang w:eastAsia="zh-CN"/>
        </w:rPr>
        <w:t>本年度减少</w:t>
      </w:r>
      <w:r>
        <w:rPr>
          <w:rFonts w:hint="eastAsia" w:ascii="仿宋_GB2312" w:hAnsi="仿宋_GB2312" w:eastAsia="仿宋_GB2312" w:cs="仿宋_GB2312"/>
          <w:color w:val="000000"/>
          <w:kern w:val="2"/>
          <w:sz w:val="32"/>
          <w:szCs w:val="32"/>
          <w:shd w:val="clear" w:color="auto" w:fill="FFFFFF"/>
        </w:rPr>
        <w:t>办公场所搬迁、重建应急指挥中心、新建五级联动应急指挥视频调度系统</w:t>
      </w:r>
      <w:r>
        <w:rPr>
          <w:rFonts w:hint="eastAsia" w:ascii="仿宋_GB2312" w:hAnsi="仿宋_GB2312" w:eastAsia="仿宋_GB2312" w:cs="仿宋_GB2312"/>
          <w:color w:val="000000"/>
          <w:kern w:val="2"/>
          <w:sz w:val="32"/>
          <w:szCs w:val="32"/>
          <w:shd w:val="clear" w:color="auto" w:fill="FFFFFF"/>
          <w:lang w:eastAsia="zh-CN"/>
        </w:rPr>
        <w:t>等经费</w:t>
      </w:r>
      <w:r>
        <w:rPr>
          <w:rFonts w:hint="eastAsia" w:ascii="仿宋_GB2312" w:hAnsi="仿宋_GB2312" w:eastAsia="仿宋_GB2312" w:cs="仿宋_GB2312"/>
          <w:color w:val="000000"/>
          <w:kern w:val="2"/>
          <w:sz w:val="32"/>
          <w:szCs w:val="32"/>
          <w:shd w:val="clear" w:color="auto" w:fill="FFFFFF"/>
        </w:rPr>
        <w:t>，从而商品服务支出减少。</w:t>
      </w:r>
    </w:p>
    <w:p>
      <w:pPr>
        <w:pStyle w:val="6"/>
        <w:widowControl/>
        <w:spacing w:beforeAutospacing="0" w:afterAutospacing="0" w:line="22" w:lineRule="atLeast"/>
        <w:ind w:left="420" w:leftChars="200"/>
        <w:jc w:val="both"/>
        <w:textAlignment w:val="center"/>
        <w:rPr>
          <w:rFonts w:ascii="仿宋_GB2312" w:hAnsi="仿宋_GB2312" w:eastAsia="仿宋_GB2312" w:cs="仿宋_GB2312"/>
          <w:color w:val="000000"/>
          <w:kern w:val="2"/>
          <w:sz w:val="32"/>
          <w:szCs w:val="32"/>
          <w:shd w:val="clear" w:color="auto" w:fill="FFFFFF"/>
        </w:rPr>
      </w:pPr>
      <w: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pStyle w:val="6"/>
        <w:widowControl/>
        <w:numPr>
          <w:ilvl w:val="0"/>
          <w:numId w:val="1"/>
        </w:numPr>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Times New Roman" w:hAnsi="Times New Roman" w:eastAsia="仿宋_GB2312"/>
          <w:b/>
          <w:kern w:val="2"/>
          <w:sz w:val="32"/>
          <w:szCs w:val="32"/>
        </w:rPr>
        <w:t>支出预算：</w:t>
      </w:r>
      <w:r>
        <w:rPr>
          <w:rFonts w:hint="eastAsia" w:ascii="仿宋_GB2312" w:hAnsi="仿宋_GB2312" w:eastAsia="仿宋_GB2312" w:cs="仿宋_GB2312"/>
          <w:color w:val="000000"/>
          <w:kern w:val="2"/>
          <w:sz w:val="32"/>
          <w:szCs w:val="32"/>
          <w:shd w:val="clear" w:color="auto" w:fill="FFFFFF"/>
        </w:rPr>
        <w:t>2024年本部门支出预算529.9万元，其中：社会保障和就业支出36.42万元，卫生健康支出13.85万元，农林水支出</w:t>
      </w:r>
      <w:r>
        <w:rPr>
          <w:rFonts w:hint="eastAsia" w:ascii="仿宋_GB2312" w:hAnsi="仿宋_GB2312" w:eastAsia="仿宋_GB2312" w:cs="仿宋_GB2312"/>
          <w:kern w:val="2"/>
          <w:sz w:val="32"/>
          <w:szCs w:val="32"/>
          <w:shd w:val="clear" w:color="auto" w:fill="FFFFFF"/>
        </w:rPr>
        <w:t>40万</w:t>
      </w:r>
      <w:r>
        <w:rPr>
          <w:rFonts w:hint="eastAsia" w:ascii="仿宋_GB2312" w:hAnsi="仿宋_GB2312" w:eastAsia="仿宋_GB2312" w:cs="仿宋_GB2312"/>
          <w:color w:val="000000"/>
          <w:kern w:val="2"/>
          <w:sz w:val="32"/>
          <w:szCs w:val="32"/>
          <w:shd w:val="clear" w:color="auto" w:fill="FFFFFF"/>
        </w:rPr>
        <w:t>元，住房保障支出23.10万元，灾害防治及应急管理支出416.53</w:t>
      </w:r>
      <w:r>
        <w:rPr>
          <w:rFonts w:hint="eastAsia" w:ascii="仿宋_GB2312" w:hAnsi="仿宋_GB2312" w:eastAsia="仿宋_GB2312" w:cs="仿宋_GB2312"/>
          <w:color w:val="000000"/>
          <w:kern w:val="2"/>
          <w:sz w:val="32"/>
          <w:szCs w:val="32"/>
          <w:shd w:val="clear" w:color="auto" w:fill="FFFFFF"/>
          <w:lang w:eastAsia="zh-CN"/>
        </w:rPr>
        <w:t>万元</w:t>
      </w:r>
      <w:r>
        <w:rPr>
          <w:rFonts w:hint="eastAsia" w:ascii="仿宋_GB2312" w:hAnsi="仿宋_GB2312" w:eastAsia="仿宋_GB2312" w:cs="仿宋_GB2312"/>
          <w:color w:val="000000"/>
          <w:kern w:val="2"/>
          <w:sz w:val="32"/>
          <w:szCs w:val="32"/>
          <w:shd w:val="clear" w:color="auto" w:fill="FFFFFF"/>
        </w:rPr>
        <w:t>。支出较上年减少330.6万元，下降38.42%。主要原因是</w:t>
      </w:r>
      <w:r>
        <w:rPr>
          <w:rFonts w:hint="eastAsia" w:ascii="仿宋_GB2312" w:hAnsi="仿宋_GB2312" w:eastAsia="仿宋_GB2312" w:cs="仿宋_GB2312"/>
          <w:color w:val="000000"/>
          <w:kern w:val="2"/>
          <w:sz w:val="32"/>
          <w:szCs w:val="32"/>
          <w:shd w:val="clear" w:color="auto" w:fill="FFFFFF"/>
          <w:lang w:eastAsia="zh-CN"/>
        </w:rPr>
        <w:t>本年度减少</w:t>
      </w:r>
      <w:r>
        <w:rPr>
          <w:rFonts w:hint="eastAsia" w:ascii="仿宋_GB2312" w:hAnsi="仿宋_GB2312" w:eastAsia="仿宋_GB2312" w:cs="仿宋_GB2312"/>
          <w:color w:val="000000"/>
          <w:kern w:val="2"/>
          <w:sz w:val="32"/>
          <w:szCs w:val="32"/>
          <w:shd w:val="clear" w:color="auto" w:fill="FFFFFF"/>
        </w:rPr>
        <w:t>办公场所搬迁、重建应急指挥中心、新建五级联动应急指挥视频调度系统</w:t>
      </w:r>
      <w:r>
        <w:rPr>
          <w:rFonts w:hint="eastAsia" w:ascii="仿宋_GB2312" w:hAnsi="仿宋_GB2312" w:eastAsia="仿宋_GB2312" w:cs="仿宋_GB2312"/>
          <w:color w:val="000000"/>
          <w:kern w:val="2"/>
          <w:sz w:val="32"/>
          <w:szCs w:val="32"/>
          <w:shd w:val="clear" w:color="auto" w:fill="FFFFFF"/>
          <w:lang w:eastAsia="zh-CN"/>
        </w:rPr>
        <w:t>等经费</w:t>
      </w:r>
      <w:r>
        <w:rPr>
          <w:rFonts w:hint="eastAsia" w:ascii="仿宋_GB2312" w:hAnsi="仿宋_GB2312" w:eastAsia="仿宋_GB2312" w:cs="仿宋_GB2312"/>
          <w:color w:val="000000"/>
          <w:kern w:val="2"/>
          <w:sz w:val="32"/>
          <w:szCs w:val="32"/>
          <w:shd w:val="clear" w:color="auto" w:fill="FFFFFF"/>
        </w:rPr>
        <w:t>，从而商品服务支出减少。</w:t>
      </w:r>
    </w:p>
    <w:p>
      <w:pPr>
        <w:pStyle w:val="6"/>
        <w:widowControl/>
        <w:spacing w:beforeAutospacing="0" w:afterAutospacing="0" w:line="22" w:lineRule="atLeast"/>
        <w:jc w:val="both"/>
        <w:textAlignment w:val="center"/>
        <w:rPr>
          <w:rFonts w:ascii="仿宋_GB2312" w:hAnsi="仿宋_GB2312" w:eastAsia="仿宋_GB2312" w:cs="仿宋_GB2312"/>
          <w:color w:val="000000"/>
          <w:kern w:val="2"/>
          <w:sz w:val="32"/>
          <w:szCs w:val="32"/>
          <w:shd w:val="clear" w:color="auto" w:fill="FFFFFF"/>
        </w:rPr>
      </w:pPr>
      <w:r>
        <w:drawing>
          <wp:inline distT="0" distB="0" distL="0" distR="0">
            <wp:extent cx="5274310" cy="3076575"/>
            <wp:effectExtent l="0" t="0" r="21590" b="9525"/>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四、一般公共预算拨款支出</w:t>
      </w: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color w:val="000000"/>
          <w:kern w:val="2"/>
          <w:sz w:val="32"/>
          <w:szCs w:val="32"/>
          <w:shd w:val="clear" w:color="auto" w:fill="FFFFFF"/>
        </w:rPr>
        <w:t>2024年本部门一般公共预算拨款支出529.9万元，其中：社会保障和就业支出36.42万元，占6.87%；卫生健康支出13.85万元，占2.61%；农林水支出</w:t>
      </w:r>
      <w:r>
        <w:rPr>
          <w:rFonts w:hint="eastAsia" w:ascii="仿宋_GB2312" w:hAnsi="仿宋_GB2312" w:eastAsia="仿宋_GB2312" w:cs="仿宋_GB2312"/>
          <w:kern w:val="2"/>
          <w:sz w:val="32"/>
          <w:szCs w:val="32"/>
          <w:shd w:val="clear" w:color="auto" w:fill="FFFFFF"/>
        </w:rPr>
        <w:t>40万</w:t>
      </w:r>
      <w:r>
        <w:rPr>
          <w:rFonts w:hint="eastAsia" w:ascii="仿宋_GB2312" w:hAnsi="仿宋_GB2312" w:eastAsia="仿宋_GB2312" w:cs="仿宋_GB2312"/>
          <w:color w:val="000000"/>
          <w:kern w:val="2"/>
          <w:sz w:val="32"/>
          <w:szCs w:val="32"/>
          <w:shd w:val="clear" w:color="auto" w:fill="FFFFFF"/>
        </w:rPr>
        <w:t>元，占7.55%；住房保障支出23.10万元占4.36%</w:t>
      </w:r>
      <w:r>
        <w:rPr>
          <w:rFonts w:hint="eastAsia" w:ascii="仿宋_GB2312" w:hAnsi="仿宋_GB2312" w:eastAsia="仿宋_GB2312" w:cs="仿宋_GB2312"/>
          <w:color w:val="000000"/>
          <w:kern w:val="2"/>
          <w:sz w:val="32"/>
          <w:szCs w:val="32"/>
          <w:shd w:val="clear" w:color="auto" w:fill="FFFFFF"/>
          <w:lang w:eastAsia="zh-CN"/>
        </w:rPr>
        <w:t>；</w:t>
      </w:r>
      <w:r>
        <w:rPr>
          <w:rFonts w:hint="eastAsia" w:ascii="仿宋_GB2312" w:hAnsi="仿宋_GB2312" w:eastAsia="仿宋_GB2312" w:cs="仿宋_GB2312"/>
          <w:color w:val="000000"/>
          <w:kern w:val="2"/>
          <w:sz w:val="32"/>
          <w:szCs w:val="32"/>
          <w:shd w:val="clear" w:color="auto" w:fill="FFFFFF"/>
        </w:rPr>
        <w:t>灾害防治及应急管理支出416.53，占78.61%。具体安排情况如下：</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Times New Roman" w:hAnsi="Times New Roman" w:eastAsia="仿宋_GB2312"/>
          <w:b/>
          <w:sz w:val="32"/>
          <w:szCs w:val="32"/>
        </w:rPr>
        <w:t>（一）基本支出：</w:t>
      </w:r>
      <w:r>
        <w:rPr>
          <w:rFonts w:hint="eastAsia" w:ascii="仿宋_GB2312" w:hAnsi="仿宋_GB2312" w:eastAsia="仿宋_GB2312" w:cs="仿宋_GB2312"/>
          <w:color w:val="000000"/>
          <w:kern w:val="2"/>
          <w:sz w:val="32"/>
          <w:szCs w:val="32"/>
          <w:shd w:val="clear" w:color="auto" w:fill="FFFFFF"/>
        </w:rPr>
        <w:t>2024年本部门基本支出预算数300.14万元，主要是为保障部门正常运转、完成日常工作任务而发生的各项支出，包括用于基本工资、津贴补贴等人员经费以及办公费、印刷费、水电费、办公设备购置等公用经费。</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（二）项目支出：</w:t>
      </w:r>
      <w:r>
        <w:rPr>
          <w:rFonts w:hint="eastAsia" w:ascii="仿宋_GB2312" w:hAnsi="仿宋_GB2312" w:eastAsia="仿宋_GB2312" w:cs="仿宋_GB2312"/>
          <w:color w:val="000000"/>
          <w:kern w:val="2"/>
          <w:sz w:val="32"/>
          <w:szCs w:val="32"/>
          <w:shd w:val="clear" w:color="auto" w:fill="FFFFFF"/>
        </w:rPr>
        <w:t>2024年本部门项目支出预算229.76万元，主要是本部门为完成特定工作任务或事业发展目标而发生的支出，包括业务工作经费、运行维护经费等，其中：农林水支出40万元，主要用于自然灾害救助工作方面；灾害防治及应急管理支出</w:t>
      </w:r>
      <w:r>
        <w:rPr>
          <w:rFonts w:hint="eastAsia" w:ascii="仿宋_GB2312" w:hAnsi="仿宋_GB2312" w:eastAsia="仿宋_GB2312" w:cs="仿宋_GB2312"/>
          <w:color w:val="000000"/>
          <w:kern w:val="2"/>
          <w:sz w:val="32"/>
          <w:szCs w:val="32"/>
          <w:shd w:val="clear" w:color="auto" w:fill="FFFFFF"/>
          <w:lang w:val="en-US" w:eastAsia="zh-CN"/>
        </w:rPr>
        <w:t>189.76</w:t>
      </w:r>
      <w:r>
        <w:rPr>
          <w:rFonts w:hint="eastAsia" w:ascii="仿宋_GB2312" w:hAnsi="仿宋_GB2312" w:eastAsia="仿宋_GB2312" w:cs="仿宋_GB2312"/>
          <w:color w:val="000000"/>
          <w:kern w:val="2"/>
          <w:sz w:val="32"/>
          <w:szCs w:val="32"/>
          <w:shd w:val="clear" w:color="auto" w:fill="FFFFFF"/>
        </w:rPr>
        <w:t>万元，主要用于应急业务工作等方面；项目支出较上年减少329.66万元，减少的主要原因</w:t>
      </w:r>
      <w:r>
        <w:rPr>
          <w:rFonts w:hint="eastAsia" w:ascii="仿宋_GB2312" w:hAnsi="仿宋_GB2312" w:eastAsia="仿宋_GB2312" w:cs="仿宋_GB2312"/>
          <w:color w:val="000000"/>
          <w:kern w:val="2"/>
          <w:sz w:val="32"/>
          <w:szCs w:val="32"/>
          <w:shd w:val="clear" w:color="auto" w:fill="FFFFFF"/>
          <w:lang w:eastAsia="zh-CN"/>
        </w:rPr>
        <w:t>本年度减少</w:t>
      </w:r>
      <w:r>
        <w:rPr>
          <w:rFonts w:hint="eastAsia" w:ascii="仿宋_GB2312" w:hAnsi="仿宋_GB2312" w:eastAsia="仿宋_GB2312" w:cs="仿宋_GB2312"/>
          <w:color w:val="000000"/>
          <w:kern w:val="2"/>
          <w:sz w:val="32"/>
          <w:szCs w:val="32"/>
          <w:shd w:val="clear" w:color="auto" w:fill="FFFFFF"/>
        </w:rPr>
        <w:t>办公场所搬迁、重建应急指挥中心、新建五级联动应急指挥视频调度系统等经费。</w:t>
      </w: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五、政府性基金预算支出</w:t>
      </w: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color w:val="000000"/>
          <w:kern w:val="2"/>
          <w:sz w:val="32"/>
          <w:szCs w:val="32"/>
          <w:shd w:val="clear" w:color="auto" w:fill="FFFFFF"/>
        </w:rPr>
        <w:t>2024年度本部门无政府性基金安排的支出，所以公开的附件1</w:t>
      </w:r>
      <w:r>
        <w:rPr>
          <w:rFonts w:hint="eastAsia" w:ascii="仿宋_GB2312" w:hAnsi="仿宋_GB2312" w:eastAsia="仿宋_GB2312" w:cs="仿宋_GB2312"/>
          <w:color w:val="000000"/>
          <w:kern w:val="2"/>
          <w:sz w:val="32"/>
          <w:szCs w:val="32"/>
          <w:shd w:val="clear" w:color="auto" w:fill="FFFFFF"/>
          <w:lang w:val="en-US" w:eastAsia="zh-CN"/>
        </w:rPr>
        <w:t>6</w:t>
      </w:r>
      <w:r>
        <w:rPr>
          <w:rFonts w:hint="eastAsia" w:ascii="仿宋_GB2312" w:hAnsi="仿宋_GB2312" w:eastAsia="仿宋_GB2312" w:cs="仿宋_GB2312"/>
          <w:color w:val="000000"/>
          <w:kern w:val="2"/>
          <w:sz w:val="32"/>
          <w:szCs w:val="32"/>
          <w:shd w:val="clear" w:color="auto" w:fill="FFFFFF"/>
        </w:rPr>
        <w:t>-1</w:t>
      </w:r>
      <w:r>
        <w:rPr>
          <w:rFonts w:hint="eastAsia" w:ascii="仿宋_GB2312" w:hAnsi="仿宋_GB2312" w:eastAsia="仿宋_GB2312" w:cs="仿宋_GB2312"/>
          <w:color w:val="000000"/>
          <w:kern w:val="2"/>
          <w:sz w:val="32"/>
          <w:szCs w:val="32"/>
          <w:shd w:val="clear" w:color="auto" w:fill="FFFFFF"/>
          <w:lang w:val="en-US" w:eastAsia="zh-CN"/>
        </w:rPr>
        <w:t>8</w:t>
      </w:r>
      <w:r>
        <w:rPr>
          <w:rFonts w:hint="eastAsia" w:ascii="仿宋_GB2312" w:hAnsi="仿宋_GB2312" w:eastAsia="仿宋_GB2312" w:cs="仿宋_GB2312"/>
          <w:color w:val="000000"/>
          <w:kern w:val="2"/>
          <w:sz w:val="32"/>
          <w:szCs w:val="32"/>
          <w:shd w:val="clear" w:color="auto" w:fill="FFFFFF"/>
        </w:rPr>
        <w:t>表（政府性基金预算）为空。</w:t>
      </w: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六、其他重要事项的情况说明</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（一）机关运行经费：</w:t>
      </w:r>
      <w:r>
        <w:rPr>
          <w:rFonts w:hint="eastAsia" w:ascii="仿宋_GB2312" w:hAnsi="仿宋_GB2312" w:eastAsia="仿宋_GB2312" w:cs="仿宋_GB2312"/>
          <w:color w:val="000000"/>
          <w:kern w:val="2"/>
          <w:sz w:val="32"/>
          <w:szCs w:val="32"/>
          <w:shd w:val="clear" w:color="auto" w:fill="FFFFFF"/>
        </w:rPr>
        <w:t>2024年君山区应急管理局机关运行经费</w:t>
      </w:r>
      <w:r>
        <w:rPr>
          <w:rFonts w:hint="eastAsia" w:ascii="仿宋_GB2312" w:hAnsi="仿宋_GB2312" w:eastAsia="仿宋_GB2312" w:cs="仿宋_GB2312"/>
          <w:color w:val="000000"/>
          <w:kern w:val="2"/>
          <w:sz w:val="32"/>
          <w:szCs w:val="32"/>
          <w:shd w:val="clear" w:color="auto" w:fill="FFFFFF"/>
          <w:lang w:val="en-US" w:eastAsia="zh-CN"/>
        </w:rPr>
        <w:t>34.26</w:t>
      </w:r>
      <w:r>
        <w:rPr>
          <w:rFonts w:hint="eastAsia" w:ascii="仿宋_GB2312" w:hAnsi="仿宋_GB2312" w:eastAsia="仿宋_GB2312" w:cs="仿宋_GB2312"/>
          <w:color w:val="000000"/>
          <w:kern w:val="2"/>
          <w:sz w:val="32"/>
          <w:szCs w:val="32"/>
          <w:shd w:val="clear" w:color="auto" w:fill="FFFFFF"/>
        </w:rPr>
        <w:t>万元，比上年预算下降</w:t>
      </w:r>
      <w:r>
        <w:rPr>
          <w:rFonts w:hint="eastAsia" w:ascii="仿宋_GB2312" w:hAnsi="仿宋_GB2312" w:eastAsia="仿宋_GB2312" w:cs="仿宋_GB2312"/>
          <w:color w:val="000000"/>
          <w:kern w:val="2"/>
          <w:sz w:val="32"/>
          <w:szCs w:val="32"/>
          <w:shd w:val="clear" w:color="auto" w:fill="FFFFFF"/>
          <w:lang w:val="en-US" w:eastAsia="zh-CN"/>
        </w:rPr>
        <w:t>19.05</w:t>
      </w:r>
      <w:r>
        <w:rPr>
          <w:rFonts w:hint="eastAsia" w:ascii="仿宋_GB2312" w:hAnsi="仿宋_GB2312" w:eastAsia="仿宋_GB2312" w:cs="仿宋_GB2312"/>
          <w:color w:val="000000"/>
          <w:kern w:val="2"/>
          <w:sz w:val="32"/>
          <w:szCs w:val="32"/>
          <w:shd w:val="clear" w:color="auto" w:fill="FFFFFF"/>
        </w:rPr>
        <w:t>%。主要原因是主要原因是严格落实中央“八项规定”精神和“过紧日子”的要求，从严控制公用经费支出。</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（二）“三公”经费预算：</w:t>
      </w:r>
      <w:r>
        <w:rPr>
          <w:rFonts w:hint="eastAsia" w:ascii="仿宋_GB2312" w:hAnsi="仿宋_GB2312" w:eastAsia="仿宋_GB2312" w:cs="仿宋_GB2312"/>
          <w:color w:val="000000"/>
          <w:kern w:val="2"/>
          <w:sz w:val="32"/>
          <w:szCs w:val="32"/>
          <w:shd w:val="clear" w:color="auto" w:fill="FFFFFF"/>
        </w:rPr>
        <w:t>2024年本部门“三公”经费预算数为5.2万元，其中，公务接待费2.4万元，公务用车购置及运行费2.8万元（其中，公务用车购置费0万元，公务用车运行费2.8万元），因公出国（境）费0万元。2024年“三公”经费预算</w:t>
      </w:r>
      <w:r>
        <w:rPr>
          <w:rFonts w:hint="eastAsia" w:ascii="仿宋_GB2312" w:hAnsi="仿宋_GB2312" w:eastAsia="仿宋_GB2312" w:cs="仿宋_GB2312"/>
          <w:color w:val="000000"/>
          <w:kern w:val="2"/>
          <w:sz w:val="32"/>
          <w:szCs w:val="32"/>
          <w:shd w:val="clear" w:color="auto" w:fill="FFFFFF"/>
          <w:lang w:eastAsia="zh-CN"/>
        </w:rPr>
        <w:t>与</w:t>
      </w:r>
      <w:r>
        <w:rPr>
          <w:rFonts w:hint="eastAsia" w:ascii="仿宋_GB2312" w:hAnsi="仿宋_GB2312" w:eastAsia="仿宋_GB2312" w:cs="仿宋_GB2312"/>
          <w:color w:val="000000"/>
          <w:kern w:val="2"/>
          <w:sz w:val="32"/>
          <w:szCs w:val="32"/>
          <w:shd w:val="clear" w:color="auto" w:fill="FFFFFF"/>
        </w:rPr>
        <w:t>2023年持平。</w:t>
      </w:r>
      <w:bookmarkStart w:id="1" w:name="DIS_MARK_IS_ZERO_06_2"/>
      <w:bookmarkEnd w:id="1"/>
      <w:bookmarkStart w:id="2" w:name="END_IS_ZERO_06_2"/>
      <w:bookmarkEnd w:id="2"/>
      <w:bookmarkStart w:id="3" w:name="END_IS_ZERO_06_1"/>
      <w:bookmarkEnd w:id="3"/>
      <w:bookmarkStart w:id="4" w:name="START_IS_ZERO_06_2"/>
      <w:bookmarkEnd w:id="4"/>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（三）一般性支出情况：</w:t>
      </w:r>
      <w:r>
        <w:rPr>
          <w:rFonts w:hint="eastAsia" w:ascii="仿宋_GB2312" w:hAnsi="仿宋_GB2312" w:eastAsia="仿宋_GB2312" w:cs="仿宋_GB2312"/>
          <w:color w:val="000000"/>
          <w:kern w:val="2"/>
          <w:sz w:val="32"/>
          <w:szCs w:val="32"/>
          <w:shd w:val="clear" w:color="auto" w:fill="FFFFFF"/>
        </w:rPr>
        <w:t>2024年本部门会议费预算0万元，拟召开0次会议，人数0人；培训费预算0万元，拟开展0次培训，人数0人；2024年度本部门未计划举办节庆、晚会、论坛、赛事活动。</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（四）政府采购情况：</w:t>
      </w:r>
      <w:r>
        <w:rPr>
          <w:rFonts w:hint="eastAsia" w:ascii="仿宋_GB2312" w:hAnsi="仿宋_GB2312" w:eastAsia="仿宋_GB2312" w:cs="仿宋_GB2312"/>
          <w:color w:val="000000"/>
          <w:kern w:val="2"/>
          <w:sz w:val="32"/>
          <w:szCs w:val="32"/>
          <w:shd w:val="clear" w:color="auto" w:fill="FFFFFF"/>
        </w:rPr>
        <w:t>2024年本部门政府采购预算总额45.45万元，其中，货物类采购预算43.95万元；工程类采购预算0万元；服务类采购预算1.5万元。</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（五）国有资产占用使用及新增资产配置情况：</w:t>
      </w:r>
      <w:r>
        <w:rPr>
          <w:rFonts w:hint="eastAsia" w:ascii="仿宋_GB2312" w:hAnsi="仿宋_GB2312" w:eastAsia="仿宋_GB2312" w:cs="仿宋_GB2312"/>
          <w:color w:val="000000"/>
          <w:kern w:val="2"/>
          <w:sz w:val="32"/>
          <w:szCs w:val="32"/>
          <w:shd w:val="clear" w:color="auto" w:fill="FFFFFF"/>
        </w:rPr>
        <w:t>截至2023年12月底，本部门共有公务用车2辆，其中，机要通信用车0辆，应急保障用车0辆，执法执勤用车2辆，特种专业技术用车1辆，其他按照规定配备的公务用车0辆；单位价值50万元以上设备0台，其中，单位价值100万元以上设备0台。</w:t>
      </w: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color w:val="000000"/>
          <w:kern w:val="2"/>
          <w:sz w:val="32"/>
          <w:szCs w:val="32"/>
          <w:shd w:val="clear" w:color="auto" w:fill="FFFFFF"/>
        </w:rPr>
        <w:t>2024年拟新增配置公务用车0辆，其中，机要通信用车0辆，应急保障用车0辆，执法执勤用车0辆，特种专业技术用车0辆，其他按照规定配备的公务用车0辆；新增配备单位价值50万元以上设备0台，其中，单位价值100万元以上设备0台。</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（六）预算绩效目标说明：</w:t>
      </w:r>
      <w:r>
        <w:rPr>
          <w:rFonts w:hint="eastAsia" w:ascii="仿宋_GB2312" w:hAnsi="仿宋_GB2312" w:eastAsia="仿宋_GB2312" w:cs="仿宋_GB2312"/>
          <w:color w:val="000000"/>
          <w:kern w:val="2"/>
          <w:sz w:val="32"/>
          <w:szCs w:val="32"/>
          <w:shd w:val="clear" w:color="auto" w:fill="FFFFFF"/>
        </w:rPr>
        <w:t>本部门所有支出实行绩效目标管理。纳入2024年部门整体支出绩效目标的金额为529.90万元，其中，基本支出300.14万元，项目支出229.76万元，具体绩效目标详见文尾附表中部门预算公开表格的表21-22。</w:t>
      </w:r>
    </w:p>
    <w:p>
      <w:pPr>
        <w:widowControl/>
        <w:spacing w:line="570" w:lineRule="atLeast"/>
        <w:ind w:firstLine="643" w:firstLineChars="200"/>
        <w:rPr>
          <w:rFonts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七、名词解释</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1．机关运行经费：</w:t>
      </w:r>
      <w:r>
        <w:rPr>
          <w:rFonts w:hint="eastAsia" w:ascii="仿宋_GB2312" w:hAnsi="仿宋_GB2312" w:eastAsia="仿宋_GB2312" w:cs="仿宋_GB2312"/>
          <w:color w:val="000000"/>
          <w:kern w:val="2"/>
          <w:sz w:val="32"/>
          <w:szCs w:val="32"/>
          <w:shd w:val="clear" w:color="auto" w:fill="FFFFFF"/>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pStyle w:val="6"/>
        <w:widowControl/>
        <w:spacing w:beforeAutospacing="0" w:afterAutospacing="0" w:line="22" w:lineRule="atLeast"/>
        <w:ind w:firstLine="643" w:firstLineChars="200"/>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2．“三公”经费：</w:t>
      </w:r>
      <w:r>
        <w:rPr>
          <w:rFonts w:hint="eastAsia" w:ascii="仿宋_GB2312" w:hAnsi="仿宋_GB2312" w:eastAsia="仿宋_GB2312" w:cs="仿宋_GB2312"/>
          <w:color w:val="000000"/>
          <w:kern w:val="2"/>
          <w:sz w:val="32"/>
          <w:szCs w:val="32"/>
          <w:shd w:val="clear" w:color="auto" w:fill="FFFFFF"/>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p>
    <w:p>
      <w:pPr>
        <w:widowControl/>
        <w:jc w:val="center"/>
        <w:rPr>
          <w:rFonts w:ascii="方正小标宋简体" w:hAnsi="Times New Roman" w:eastAsia="方正小标宋简体" w:cs="Times New Roman"/>
          <w:b/>
          <w:bCs/>
          <w:kern w:val="0"/>
          <w:sz w:val="36"/>
          <w:szCs w:val="36"/>
        </w:rPr>
      </w:pPr>
      <w:bookmarkStart w:id="5" w:name="_GoBack"/>
      <w:bookmarkEnd w:id="5"/>
    </w:p>
    <w:p>
      <w:pPr>
        <w:widowControl/>
        <w:jc w:val="center"/>
        <w:rPr>
          <w:rFonts w:ascii="方正小标宋简体" w:hAnsi="Times New Roman" w:eastAsia="方正小标宋简体" w:cs="Times New Roman"/>
          <w:b/>
          <w:bCs/>
          <w:kern w:val="0"/>
          <w:sz w:val="36"/>
          <w:szCs w:val="36"/>
        </w:rPr>
      </w:pPr>
      <w:r>
        <w:rPr>
          <w:rFonts w:hint="eastAsia" w:ascii="方正小标宋简体" w:hAnsi="Times New Roman" w:eastAsia="方正小标宋简体" w:cs="Times New Roman"/>
          <w:b/>
          <w:bCs/>
          <w:kern w:val="0"/>
          <w:sz w:val="36"/>
          <w:szCs w:val="36"/>
        </w:rPr>
        <w:t>第二部分  2024年部门预算公开表格</w:t>
      </w:r>
    </w:p>
    <w:p>
      <w:pPr>
        <w:spacing w:line="570" w:lineRule="atLeast"/>
        <w:ind w:firstLine="640" w:firstLineChars="200"/>
        <w:rPr>
          <w:rFonts w:ascii="仿宋_GB2312" w:hAnsi="仿宋_GB2312" w:eastAsia="仿宋_GB2312" w:cs="仿宋_GB2312"/>
          <w:color w:val="000000"/>
          <w:sz w:val="32"/>
          <w:szCs w:val="32"/>
          <w:shd w:val="clear" w:color="auto" w:fill="FFFFFF"/>
        </w:rPr>
      </w:pP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p>
    <w:p>
      <w:pPr>
        <w:pStyle w:val="6"/>
        <w:widowControl/>
        <w:spacing w:beforeAutospacing="0" w:afterAutospacing="0" w:line="22" w:lineRule="atLeast"/>
        <w:ind w:firstLine="640" w:firstLineChars="200"/>
        <w:jc w:val="both"/>
        <w:textAlignment w:val="center"/>
        <w:rPr>
          <w:rFonts w:ascii="仿宋_GB2312" w:hAnsi="仿宋_GB2312" w:eastAsia="仿宋_GB2312" w:cs="仿宋_GB2312"/>
          <w:color w:val="000000"/>
          <w:kern w:val="2"/>
          <w:sz w:val="32"/>
          <w:szCs w:val="32"/>
          <w:shd w:val="clear" w:color="auto" w:fill="FFFFFF"/>
        </w:rPr>
      </w:pPr>
    </w:p>
    <w:p>
      <w:pPr>
        <w:pStyle w:val="6"/>
        <w:widowControl/>
        <w:spacing w:beforeAutospacing="0" w:afterAutospacing="0" w:line="22" w:lineRule="atLeast"/>
        <w:jc w:val="both"/>
        <w:textAlignment w:val="center"/>
        <w:rPr>
          <w:rFonts w:ascii="仿宋_GB2312" w:hAnsi="仿宋_GB2312" w:eastAsia="仿宋_GB2312" w:cs="仿宋_GB2312"/>
          <w:color w:val="000000"/>
          <w:kern w:val="2"/>
          <w:sz w:val="32"/>
          <w:szCs w:val="32"/>
          <w:shd w:val="clear" w:color="auto" w:fill="FFFFFF"/>
        </w:rPr>
      </w:pPr>
      <w:r>
        <w:rPr>
          <w:rFonts w:hint="eastAsia" w:ascii="仿宋_GB2312" w:hAnsi="仿宋_GB2312" w:eastAsia="仿宋_GB2312" w:cs="仿宋_GB2312"/>
          <w:b/>
          <w:bCs/>
          <w:color w:val="000000"/>
          <w:kern w:val="2"/>
          <w:sz w:val="32"/>
          <w:szCs w:val="32"/>
          <w:shd w:val="clear" w:color="auto" w:fill="FFFFFF"/>
        </w:rPr>
        <w:t>附件：岳阳市君山</w:t>
      </w:r>
      <w:r>
        <w:rPr>
          <w:rFonts w:hint="eastAsia" w:ascii="仿宋_GB2312" w:hAnsi="仿宋_GB2312" w:eastAsia="仿宋_GB2312" w:cs="仿宋_GB2312"/>
          <w:b/>
          <w:bCs/>
          <w:color w:val="000000"/>
          <w:kern w:val="2"/>
          <w:sz w:val="32"/>
          <w:szCs w:val="32"/>
          <w:shd w:val="clear" w:color="auto" w:fill="FFFFFF"/>
          <w:lang w:eastAsia="zh-CN"/>
        </w:rPr>
        <w:t>区应急管理局</w:t>
      </w:r>
      <w:r>
        <w:rPr>
          <w:rFonts w:hint="eastAsia" w:ascii="仿宋_GB2312" w:hAnsi="仿宋_GB2312" w:eastAsia="仿宋_GB2312" w:cs="仿宋_GB2312"/>
          <w:b/>
          <w:bCs/>
          <w:color w:val="000000"/>
          <w:kern w:val="2"/>
          <w:sz w:val="32"/>
          <w:szCs w:val="32"/>
          <w:shd w:val="clear" w:color="auto" w:fill="FFFFFF"/>
        </w:rPr>
        <w:t>2024年部门预算公开表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仿宋_GB2312"/>
    <w:panose1 w:val="02010601030101010101"/>
    <w:charset w:val="86"/>
    <w:family w:val="script"/>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11038EA"/>
    <w:multiLevelType w:val="singleLevel"/>
    <w:tmpl w:val="511038E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0MzkxYTllNGUzYWMwZmMyNjFiNTViYzNiYzdlYTAifQ=="/>
  </w:docVars>
  <w:rsids>
    <w:rsidRoot w:val="637274E6"/>
    <w:rsid w:val="004F436A"/>
    <w:rsid w:val="00857C69"/>
    <w:rsid w:val="00F91D0A"/>
    <w:rsid w:val="01FC3560"/>
    <w:rsid w:val="02412BCB"/>
    <w:rsid w:val="0263273C"/>
    <w:rsid w:val="028D65CD"/>
    <w:rsid w:val="02FA7BB8"/>
    <w:rsid w:val="03631DE8"/>
    <w:rsid w:val="05DE428D"/>
    <w:rsid w:val="05ED25F6"/>
    <w:rsid w:val="079242AE"/>
    <w:rsid w:val="085D0C84"/>
    <w:rsid w:val="0992531D"/>
    <w:rsid w:val="0A0D382D"/>
    <w:rsid w:val="0C9C17F9"/>
    <w:rsid w:val="0D2835D5"/>
    <w:rsid w:val="0DBC1E40"/>
    <w:rsid w:val="0ED939EE"/>
    <w:rsid w:val="13385187"/>
    <w:rsid w:val="144178C3"/>
    <w:rsid w:val="167C1082"/>
    <w:rsid w:val="168E55F8"/>
    <w:rsid w:val="16B94831"/>
    <w:rsid w:val="18844C6D"/>
    <w:rsid w:val="1B65706D"/>
    <w:rsid w:val="1C744CBF"/>
    <w:rsid w:val="1CD25B13"/>
    <w:rsid w:val="1D6E31FC"/>
    <w:rsid w:val="1D7B58CC"/>
    <w:rsid w:val="1D85581C"/>
    <w:rsid w:val="1E152BF6"/>
    <w:rsid w:val="1FA83D69"/>
    <w:rsid w:val="1FD800E8"/>
    <w:rsid w:val="200307FA"/>
    <w:rsid w:val="20A420AE"/>
    <w:rsid w:val="22A819BF"/>
    <w:rsid w:val="22DF4F83"/>
    <w:rsid w:val="22E11C64"/>
    <w:rsid w:val="230C7214"/>
    <w:rsid w:val="23FE1AD5"/>
    <w:rsid w:val="24302B07"/>
    <w:rsid w:val="243D1BD3"/>
    <w:rsid w:val="256B3D61"/>
    <w:rsid w:val="264178B0"/>
    <w:rsid w:val="26962633"/>
    <w:rsid w:val="26E130FE"/>
    <w:rsid w:val="29B01C78"/>
    <w:rsid w:val="29C372D4"/>
    <w:rsid w:val="29C51572"/>
    <w:rsid w:val="29EC6874"/>
    <w:rsid w:val="2A351017"/>
    <w:rsid w:val="2D6329A9"/>
    <w:rsid w:val="2D8B118E"/>
    <w:rsid w:val="2DA53533"/>
    <w:rsid w:val="300E6AE4"/>
    <w:rsid w:val="305B1762"/>
    <w:rsid w:val="305C2E10"/>
    <w:rsid w:val="3085088F"/>
    <w:rsid w:val="31A800DF"/>
    <w:rsid w:val="322844ED"/>
    <w:rsid w:val="324A2389"/>
    <w:rsid w:val="32865768"/>
    <w:rsid w:val="328F1D91"/>
    <w:rsid w:val="32C66482"/>
    <w:rsid w:val="34521626"/>
    <w:rsid w:val="35683252"/>
    <w:rsid w:val="36BE748E"/>
    <w:rsid w:val="36CB7059"/>
    <w:rsid w:val="38E3475C"/>
    <w:rsid w:val="3951638D"/>
    <w:rsid w:val="3A242018"/>
    <w:rsid w:val="3F967B4D"/>
    <w:rsid w:val="41CC1EED"/>
    <w:rsid w:val="432D70D9"/>
    <w:rsid w:val="43666CD0"/>
    <w:rsid w:val="46F73219"/>
    <w:rsid w:val="472973EE"/>
    <w:rsid w:val="477C3FDA"/>
    <w:rsid w:val="47E411CF"/>
    <w:rsid w:val="490966A2"/>
    <w:rsid w:val="496F41C2"/>
    <w:rsid w:val="4A8F28C2"/>
    <w:rsid w:val="4AD36F68"/>
    <w:rsid w:val="4B5D43D7"/>
    <w:rsid w:val="4BC03402"/>
    <w:rsid w:val="4BE369D5"/>
    <w:rsid w:val="4C7272BD"/>
    <w:rsid w:val="4DBF1A26"/>
    <w:rsid w:val="4EC2028E"/>
    <w:rsid w:val="4EDC5DE0"/>
    <w:rsid w:val="4EE728E7"/>
    <w:rsid w:val="50447689"/>
    <w:rsid w:val="51B004D2"/>
    <w:rsid w:val="522D35B3"/>
    <w:rsid w:val="52A91D7A"/>
    <w:rsid w:val="54A70CC5"/>
    <w:rsid w:val="56301712"/>
    <w:rsid w:val="5681523A"/>
    <w:rsid w:val="576A0C54"/>
    <w:rsid w:val="5A1535D7"/>
    <w:rsid w:val="5A380B96"/>
    <w:rsid w:val="5AD16C2F"/>
    <w:rsid w:val="5BB324D0"/>
    <w:rsid w:val="5D7F32CE"/>
    <w:rsid w:val="5E770454"/>
    <w:rsid w:val="5F3F29C6"/>
    <w:rsid w:val="603234E4"/>
    <w:rsid w:val="60884CBD"/>
    <w:rsid w:val="60B230E1"/>
    <w:rsid w:val="617E495D"/>
    <w:rsid w:val="6252058A"/>
    <w:rsid w:val="636D1293"/>
    <w:rsid w:val="637274E6"/>
    <w:rsid w:val="63894210"/>
    <w:rsid w:val="662F72F1"/>
    <w:rsid w:val="66B263EF"/>
    <w:rsid w:val="69175946"/>
    <w:rsid w:val="6B49147A"/>
    <w:rsid w:val="6C0749A4"/>
    <w:rsid w:val="6C1B6290"/>
    <w:rsid w:val="6C5E2742"/>
    <w:rsid w:val="6CB542C8"/>
    <w:rsid w:val="6CC62031"/>
    <w:rsid w:val="7076663E"/>
    <w:rsid w:val="70AE175A"/>
    <w:rsid w:val="70F92319"/>
    <w:rsid w:val="728C4B01"/>
    <w:rsid w:val="729A1F96"/>
    <w:rsid w:val="739C7F8F"/>
    <w:rsid w:val="73BE1EBD"/>
    <w:rsid w:val="74232EF6"/>
    <w:rsid w:val="748B04A5"/>
    <w:rsid w:val="74D47E83"/>
    <w:rsid w:val="753D6E5D"/>
    <w:rsid w:val="753F0C2D"/>
    <w:rsid w:val="76F07906"/>
    <w:rsid w:val="77DE623F"/>
    <w:rsid w:val="78CC0C1A"/>
    <w:rsid w:val="791A5BDE"/>
    <w:rsid w:val="7A1545B8"/>
    <w:rsid w:val="7C9338B5"/>
    <w:rsid w:val="7EBE525E"/>
    <w:rsid w:val="7F6D60FB"/>
    <w:rsid w:val="7F781C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Balloon Text"/>
    <w:basedOn w:val="1"/>
    <w:link w:val="11"/>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9">
    <w:name w:val="page number"/>
    <w:qFormat/>
    <w:uiPriority w:val="0"/>
  </w:style>
  <w:style w:type="character" w:styleId="10">
    <w:name w:val="Hyperlink"/>
    <w:basedOn w:val="8"/>
    <w:qFormat/>
    <w:uiPriority w:val="0"/>
    <w:rPr>
      <w:color w:val="0000FF"/>
      <w:u w:val="single"/>
    </w:rPr>
  </w:style>
  <w:style w:type="character" w:customStyle="1" w:styleId="11">
    <w:name w:val="批注框文本 Char"/>
    <w:basedOn w:val="8"/>
    <w:link w:val="3"/>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rPr lang="zh-CN" altLang="en-US"/>
              <a:t>收入预算图</a:t>
            </a:r>
            <a:endParaRPr lang="zh-CN" altLang="en-US"/>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a:defRPr lang="zh-CN" sz="1800" b="1" i="0" u="none" strike="noStrike" kern="1200" baseline="0">
                <a:solidFill>
                  <a:schemeClr val="tx1"/>
                </a:solidFill>
                <a:latin typeface="+mn-lt"/>
                <a:ea typeface="+mn-ea"/>
                <a:cs typeface="+mn-cs"/>
              </a:defRPr>
            </a:pPr>
            <a:r>
              <a:rPr lang="zh-CN" altLang="en-US"/>
              <a:t>支出预算图</a:t>
            </a:r>
            <a:endParaRPr lang="zh-CN" altLang="en-US"/>
          </a:p>
        </c:rich>
      </c:tx>
      <c:layout/>
      <c:overlay val="0"/>
    </c:title>
    <c:autoTitleDeleted val="0"/>
    <c:plotArea>
      <c:layout/>
      <c:pieChart>
        <c:varyColors val="1"/>
        <c:ser>
          <c:idx val="0"/>
          <c:order val="0"/>
          <c:tx>
            <c:strRef>
              <c:f>Sheet1!$B$1</c:f>
              <c:strCache>
                <c:ptCount val="1"/>
                <c:pt idx="0">
                  <c:v>占比</c:v>
                </c:pt>
              </c:strCache>
            </c:strRef>
          </c:tx>
          <c:explosion val="0"/>
          <c:dPt>
            <c:idx val="0"/>
            <c:bubble3D val="0"/>
          </c:dPt>
          <c:dPt>
            <c:idx val="1"/>
            <c:bubble3D val="0"/>
          </c:dPt>
          <c:dPt>
            <c:idx val="2"/>
            <c:bubble3D val="0"/>
          </c:dPt>
          <c:dPt>
            <c:idx val="3"/>
            <c:bubble3D val="0"/>
          </c:dPt>
          <c:dPt>
            <c:idx val="4"/>
            <c:bubble3D val="0"/>
          </c:dPt>
          <c:dLbls>
            <c:dLbl>
              <c:idx val="0"/>
              <c:layout/>
              <c:dLblPos val="bestFit"/>
              <c:showLegendKey val="0"/>
              <c:showVal val="1"/>
              <c:showCatName val="0"/>
              <c:showSerName val="0"/>
              <c:showPercent val="0"/>
              <c:showBubbleSize val="0"/>
              <c:extLst>
                <c:ext xmlns:c15="http://schemas.microsoft.com/office/drawing/2012/chart" uri="{CE6537A1-D6FC-4f65-9D91-7224C49458BB}"/>
              </c:extLst>
            </c:dLbl>
            <c:dLbl>
              <c:idx val="1"/>
              <c:layout/>
              <c:dLblPos val="bestFit"/>
              <c:showLegendKey val="0"/>
              <c:showVal val="1"/>
              <c:showCatName val="0"/>
              <c:showSerName val="0"/>
              <c:showPercent val="0"/>
              <c:showBubbleSize val="0"/>
              <c:extLst>
                <c:ext xmlns:c15="http://schemas.microsoft.com/office/drawing/2012/chart" uri="{CE6537A1-D6FC-4f65-9D91-7224C49458BB}"/>
              </c:extLst>
            </c:dLbl>
            <c:dLbl>
              <c:idx val="2"/>
              <c:layout/>
              <c:dLblPos val="bestFit"/>
              <c:showLegendKey val="0"/>
              <c:showVal val="1"/>
              <c:showCatName val="0"/>
              <c:showSerName val="0"/>
              <c:showPercent val="0"/>
              <c:showBubbleSize val="0"/>
              <c:extLst>
                <c:ext xmlns:c15="http://schemas.microsoft.com/office/drawing/2012/chart" uri="{CE6537A1-D6FC-4f65-9D91-7224C49458BB}"/>
              </c:extLst>
            </c:dLbl>
            <c:dLbl>
              <c:idx val="3"/>
              <c:layout/>
              <c:dLblPos val="bestFit"/>
              <c:showLegendKey val="0"/>
              <c:showVal val="1"/>
              <c:showCatName val="0"/>
              <c:showSerName val="0"/>
              <c:showPercent val="0"/>
              <c:showBubbleSize val="0"/>
              <c:extLst>
                <c:ext xmlns:c15="http://schemas.microsoft.com/office/drawing/2012/chart" uri="{CE6537A1-D6FC-4f65-9D91-7224C49458BB}"/>
              </c:extLst>
            </c:dLbl>
            <c:dLbl>
              <c:idx val="4"/>
              <c:layout/>
              <c:dLblPos val="bestFit"/>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0"/>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Sheet1!$A$2:$A$6</c:f>
              <c:strCache>
                <c:ptCount val="5"/>
                <c:pt idx="0">
                  <c:v>社会保障和就业支出</c:v>
                </c:pt>
                <c:pt idx="1">
                  <c:v>卫生健康支出</c:v>
                </c:pt>
                <c:pt idx="2">
                  <c:v>农林水支出</c:v>
                </c:pt>
                <c:pt idx="3">
                  <c:v>住房保障支出</c:v>
                </c:pt>
                <c:pt idx="4">
                  <c:v>灾害防治及应急管理支出</c:v>
                </c:pt>
              </c:strCache>
            </c:strRef>
          </c:cat>
          <c:val>
            <c:numRef>
              <c:f>Sheet1!$B$2:$B$6</c:f>
              <c:numCache>
                <c:formatCode>0.00%</c:formatCode>
                <c:ptCount val="5"/>
                <c:pt idx="0">
                  <c:v>0.0687</c:v>
                </c:pt>
                <c:pt idx="1">
                  <c:v>0.0261</c:v>
                </c:pt>
                <c:pt idx="2">
                  <c:v>0.0755</c:v>
                </c:pt>
                <c:pt idx="3">
                  <c:v>0.0436</c:v>
                </c:pt>
                <c:pt idx="4">
                  <c:v>0.7861</c:v>
                </c:pt>
              </c:numCache>
            </c:numRef>
          </c:val>
        </c:ser>
        <c:dLbls>
          <c:showLegendKey val="0"/>
          <c:showVal val="0"/>
          <c:showCatName val="0"/>
          <c:showSerName val="0"/>
          <c:showPercent val="0"/>
          <c:showBubbleSize val="0"/>
          <c:showLeaderLines val="0"/>
        </c:dLbls>
        <c:firstSliceAng val="0"/>
      </c:pieChart>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13</Pages>
  <Words>3854</Words>
  <Characters>4168</Characters>
  <Lines>3</Lines>
  <Paragraphs>8</Paragraphs>
  <TotalTime>4</TotalTime>
  <ScaleCrop>false</ScaleCrop>
  <LinksUpToDate>false</LinksUpToDate>
  <CharactersWithSpaces>4192</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2024-05-22T14:39:00Z</dcterms:created>
  <dc:creator>dell</dc:creator>
  <cp:lastModifiedBy>Administrator</cp:lastModifiedBy>
  <dcterms:modified xsi:type="dcterms:W3CDTF">2024-06-20T09:30:26Z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AA6161384DF4417F82CE6AEF8ABCBB2E_11</vt:lpwstr>
  </property>
</Properties>
</file>