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岳阳市君山区医疗保障局</w:t>
      </w:r>
    </w:p>
    <w:p>
      <w:pPr>
        <w:spacing w:line="570" w:lineRule="atLeast"/>
        <w:jc w:val="center"/>
        <w:rPr>
          <w:rFonts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2024年部门预算公开</w:t>
      </w:r>
    </w:p>
    <w:p/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asciiTheme="minorEastAsia" w:hAnsi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asciiTheme="minorEastAsia" w:hAnsi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ind w:firstLine="643" w:firstLineChars="200"/>
        <w:rPr>
          <w:rFonts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ind w:firstLine="643" w:firstLineChars="200"/>
        <w:rPr>
          <w:rFonts w:asciiTheme="minorEastAsia" w:hAnsi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widowControl/>
        <w:spacing w:line="600" w:lineRule="exact"/>
        <w:ind w:firstLine="630" w:firstLineChars="196"/>
        <w:jc w:val="left"/>
        <w:rPr>
          <w:rFonts w:eastAsia="楷体_GB2312"/>
          <w:b/>
          <w:sz w:val="32"/>
          <w:szCs w:val="32"/>
        </w:rPr>
      </w:pPr>
      <w:r>
        <w:rPr>
          <w:rFonts w:eastAsia="楷体_GB2312"/>
          <w:b/>
          <w:sz w:val="32"/>
          <w:szCs w:val="32"/>
        </w:rPr>
        <w:t>（一）职能职责</w:t>
      </w:r>
    </w:p>
    <w:p>
      <w:pPr>
        <w:widowControl/>
        <w:spacing w:line="600" w:lineRule="exact"/>
        <w:ind w:firstLine="640" w:firstLineChars="200"/>
        <w:jc w:val="left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 1、拟订全区社会医疗保险、生育保险、医疗救助等医疗保障发展规范、标准并组织实施。</w:t>
      </w:r>
    </w:p>
    <w:p>
      <w:pPr>
        <w:widowControl/>
        <w:spacing w:line="600" w:lineRule="exact"/>
        <w:ind w:firstLine="640" w:firstLineChars="200"/>
        <w:jc w:val="left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2、贯彻执行国家医疗保障基金监督管理办法，落实全市具体实施办法，建立健全全区医疗保障基金安全防控机制，推进全区医疗保障基金支付方式改革。</w:t>
      </w:r>
    </w:p>
    <w:p>
      <w:pPr>
        <w:widowControl/>
        <w:spacing w:line="600" w:lineRule="exact"/>
        <w:ind w:firstLine="640" w:firstLineChars="200"/>
        <w:jc w:val="left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3、贯彻执行市医疗保障筹资和待遇政策，执行市城镇职工和城乡居民医疗保障待遇标准，建立健全与筹资水平相适应的待遇调整机制。组织实施全区长期护理保险制度改革。落实离休干部医疗保障待遇政策。</w:t>
      </w:r>
    </w:p>
    <w:p>
      <w:pPr>
        <w:widowControl/>
        <w:spacing w:line="600" w:lineRule="exact"/>
        <w:ind w:firstLine="640" w:firstLineChars="200"/>
        <w:jc w:val="left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4、落实全市城乡统一的药品、医用耗材、医疗服务项目、医疗服务设施等医保目录和支付标准。</w:t>
      </w:r>
    </w:p>
    <w:p>
      <w:pPr>
        <w:widowControl/>
        <w:spacing w:line="600" w:lineRule="exact"/>
        <w:ind w:firstLine="640" w:firstLineChars="200"/>
        <w:jc w:val="left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5、贯彻执行国家药品、医用耗材、医疗服务项目、医疗服务设施收费等政策，落实市医保支付医药服务价格合理确定和动态调整机制，推动建立市场主导的社会医药服务价格形成机制，执行价格信息监测和信息发布制度。</w:t>
      </w:r>
    </w:p>
    <w:p>
      <w:pPr>
        <w:widowControl/>
        <w:spacing w:line="600" w:lineRule="exact"/>
        <w:ind w:firstLine="640" w:firstLineChars="200"/>
        <w:jc w:val="left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6、贯彻执行国家和省、市药品、医用耗材的招标采购政策，指导和监管药品、医用耗材招标采购平台的应用。</w:t>
      </w:r>
    </w:p>
    <w:p>
      <w:pPr>
        <w:widowControl/>
        <w:spacing w:line="600" w:lineRule="exact"/>
        <w:ind w:firstLine="640" w:firstLineChars="200"/>
        <w:jc w:val="left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7、贯彻执行市有关协议医药机构协议和支付管理办法，执行湖南省医疗保障信用评价体系和信息披露制度，监督管理纳入医保范围的医疗服务行为和医疗费用，依法查处医疗保障领域违法违规行为。</w:t>
      </w:r>
    </w:p>
    <w:p>
      <w:pPr>
        <w:widowControl/>
        <w:spacing w:line="600" w:lineRule="exact"/>
        <w:ind w:firstLine="640" w:firstLineChars="200"/>
        <w:jc w:val="left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8、负责全区医疗保障经办管理工作和公共服务体系和信息化建设。落实市医疗保险、生育保险、特殊人群医疗保障、公务员补充医疗保险、企事业单位补充医疗保险、大病医疗互助、大病保险、医疗救助等医疗保障经办业务工作。组织制定和完善异地就医管理和费用结算政策，执行省、市医疗保障关系转移接续制度。</w:t>
      </w:r>
    </w:p>
    <w:p>
      <w:pPr>
        <w:widowControl/>
        <w:spacing w:line="600" w:lineRule="exact"/>
        <w:ind w:firstLine="640" w:firstLineChars="200"/>
        <w:jc w:val="left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9、贯彻执行国家和省、市城乡医疗救助和医保扶贫政策，负责全区医疗救助和医保扶贫政策的制定、监督、实施工作。</w:t>
      </w:r>
    </w:p>
    <w:p>
      <w:pPr>
        <w:widowControl/>
        <w:spacing w:line="600" w:lineRule="exact"/>
        <w:ind w:firstLine="640" w:firstLineChars="200"/>
        <w:jc w:val="left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10、完成上级交办的其他任务。</w:t>
      </w:r>
    </w:p>
    <w:p>
      <w:p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widowControl/>
        <w:spacing w:line="600" w:lineRule="exact"/>
        <w:ind w:firstLine="640" w:firstLineChars="200"/>
        <w:jc w:val="left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内设科室分别是: 办公室、待遇保障和医药服务管理股、医药价格和招标采购股、基金监管股、规划财务和法规股。</w:t>
      </w:r>
      <w:r>
        <w:rPr>
          <w:rFonts w:eastAsia="仿宋_GB2312"/>
          <w:sz w:val="32"/>
          <w:szCs w:val="32"/>
        </w:rPr>
        <w:t>所属事业单位是</w:t>
      </w:r>
      <w:r>
        <w:rPr>
          <w:rFonts w:hint="eastAsia" w:eastAsia="仿宋_GB2312"/>
          <w:sz w:val="32"/>
          <w:szCs w:val="32"/>
        </w:rPr>
        <w:t>：岳阳市君山区医疗保障事务中心。</w:t>
      </w:r>
    </w:p>
    <w:p>
      <w:pPr>
        <w:ind w:firstLine="643" w:firstLineChars="200"/>
        <w:rPr>
          <w:rFonts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二、部门预算单位构成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本部门预算为汇总预算，纳入2024年部门预算编制范围的预算单位包括：</w:t>
      </w:r>
    </w:p>
    <w:p>
      <w:pPr>
        <w:widowControl/>
        <w:spacing w:line="600" w:lineRule="exact"/>
        <w:ind w:firstLine="627" w:firstLineChars="196"/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1、</w:t>
      </w:r>
      <w:r>
        <w:rPr>
          <w:rFonts w:hint="eastAsia" w:eastAsia="仿宋_GB2312"/>
          <w:sz w:val="32"/>
          <w:szCs w:val="32"/>
        </w:rPr>
        <w:t>岳阳市君山区医疗保障局</w:t>
      </w:r>
      <w:r>
        <w:rPr>
          <w:rFonts w:eastAsia="仿宋_GB2312"/>
          <w:sz w:val="32"/>
          <w:szCs w:val="32"/>
        </w:rPr>
        <w:t>部门本级</w:t>
      </w:r>
    </w:p>
    <w:p>
      <w:pPr>
        <w:widowControl/>
        <w:spacing w:line="600" w:lineRule="exact"/>
        <w:ind w:firstLine="627" w:firstLineChars="196"/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2、</w:t>
      </w:r>
      <w:r>
        <w:rPr>
          <w:rFonts w:hint="eastAsia" w:eastAsia="仿宋_GB2312"/>
          <w:sz w:val="32"/>
          <w:szCs w:val="32"/>
        </w:rPr>
        <w:t>岳阳市君山区医疗保障事务中心</w:t>
      </w:r>
    </w:p>
    <w:p>
      <w:pPr>
        <w:ind w:firstLine="643" w:firstLineChars="200"/>
        <w:rPr>
          <w:rFonts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三、部门收支总体情况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本部门2024年没有政府性基金预算拨款、国有资本经营预算收入和纳入专户管理的非税收入拨款收入，也没有使用政府性基金预算拨款、国有资本经营预算收入和纳入专户管理的非税收入拨款安排的支出，所以部门预算公开表15、16、17、18、19表均为空。</w:t>
      </w:r>
    </w:p>
    <w:p>
      <w:pPr>
        <w:numPr>
          <w:ilvl w:val="0"/>
          <w:numId w:val="1"/>
        </w:num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包括一般公共预算、政府性基金、国有资本经营预算等财政拨款收入，以及经营收入、事业收入等单位资金。2024年本部门收入预算2517.84万元，其中，一般公共预算拨款2517.84万元，政府性基金预算资金0.00万元(所以部门预算公开表15-17表为空)，国有资本经营预算资金0.00万元(所以部门预算公开表18表为空)，财政专户管理资金0.00万元(所以部门预算公开表19表为空)，上级补助收入资金0.00万元，事业单位经营收入资金0.00万元，上年结转结余0.00万元。收入较去减少58.79万元，下降2.28%。主要原因是国家提倡过紧日，专项业务工作经费下降，从而导致预算收入减少。</w:t>
      </w:r>
    </w:p>
    <w:p>
      <w:pPr>
        <w:spacing w:line="570" w:lineRule="atLeast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drawing>
          <wp:inline distT="0" distB="0" distL="114300" distR="114300">
            <wp:extent cx="4886325" cy="2667000"/>
            <wp:effectExtent l="6350" t="6350" r="22225" b="1270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numPr>
          <w:ilvl w:val="0"/>
          <w:numId w:val="1"/>
        </w:num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部门支出预算2517.84万元，其中：社会保障和就业支出33.12万元，卫生健康支出2460.43万元，住房保障支出24.29万元。支出较上年或减少58.79万元，下降2.28%。主要原因是国家提倡过紧日，业务工作经费下降，从而导致卫生健康预算支出减少。</w:t>
      </w:r>
    </w:p>
    <w:p>
      <w:pPr>
        <w:spacing w:line="570" w:lineRule="atLeast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/>
          <w:lang w:val="en-US" w:eastAsia="zh-CN"/>
        </w:rPr>
        <w:t xml:space="preserve">      </w:t>
      </w:r>
      <w:r>
        <w:drawing>
          <wp:inline distT="0" distB="0" distL="114300" distR="114300">
            <wp:extent cx="4596765" cy="30010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ind w:firstLine="643" w:firstLineChars="200"/>
        <w:rPr>
          <w:rFonts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2024年本部门一般公共预算拨款支出2517.84万元，其中：卫生健康支出2460.43万元，占97.72%；社会保障和就业支出33.12万元，占1.32%，住房保障支出24.29万元，占0.96%。具体安排情况如下：</w:t>
      </w:r>
    </w:p>
    <w:p>
      <w:p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2024年本部门基本支出预算数304.66万元，主要是为保障部门正常运转、完成日常工作任务而发生的各项支出，包括用于基本工资、津贴补贴等人员经费以及办公费、印刷费、水电费、办公设备购置等公用经费。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部门项目支出预算2213.18万元，主要是本部门为完成特定工作任务或事业发展目标而发生的支出，包括有关事业发展专项、专项业务费、基本建设支出等，其中：卫生健康支出2213.18万元，主要用于财政对城乡居民医疗保险补助、财政对职工医保离休干部等特殊人群的补助、财政对医疗救助的补助及完成我局相关工作专项业务费。</w:t>
      </w:r>
    </w:p>
    <w:p>
      <w:pPr>
        <w:ind w:firstLine="643" w:firstLineChars="200"/>
        <w:rPr>
          <w:rFonts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2024年度本部门无政府性基金安排的支出，所以公开的附件15-17表（政府性基金预算）为空。</w:t>
      </w:r>
    </w:p>
    <w:p>
      <w:pPr>
        <w:ind w:firstLine="643" w:firstLineChars="200"/>
        <w:rPr>
          <w:rFonts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6"/>
        <w:widowControl/>
        <w:spacing w:beforeAutospacing="0" w:afterAutospacing="0" w:line="22" w:lineRule="atLeast"/>
        <w:ind w:firstLine="643" w:firstLineChars="200"/>
        <w:jc w:val="both"/>
        <w:textAlignment w:val="center"/>
        <w:rPr>
          <w:rFonts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2024年本部门岳阳市君山区医疗保障局本级、岳阳市君山区医疗保障事务中心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家行政事业单位的机关运行经费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30.54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元，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</w:rPr>
        <w:t>比上年预算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/>
        </w:rPr>
        <w:t>下降17.41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</w:rPr>
        <w:t>%。主要原因是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/>
        </w:rPr>
        <w:t>厉行节约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</w:rPr>
        <w:t>，造成公用经费预算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/>
        </w:rPr>
        <w:t>减少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</w:rPr>
        <w:t>。</w:t>
      </w:r>
    </w:p>
    <w:p>
      <w:p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2024年君山区医疗保障局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本级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君山区医疗保障事务中心等2家行政事业单位“三公”经费预算数为1.5万元，其中，公务接待费1.5万元，公务用车购置及运行费0万元（其中，公务用车购置费0万元，公务用车运行费0万元），因公出国（境）费0万元。2024年“三公”经费预算较2023年减少1.26万元，主要原因是严格落实中央“八项规定”精神和“过紧日子”的要求，从严控制“三公”经费支出。</w:t>
      </w:r>
      <w:bookmarkStart w:id="0" w:name="DIS_MARK_IS_ZERO_06_2"/>
      <w:bookmarkEnd w:id="0"/>
      <w:bookmarkStart w:id="1" w:name="START_IS_ZERO_06_2"/>
      <w:bookmarkEnd w:id="1"/>
      <w:bookmarkStart w:id="2" w:name="END_IS_ZERO_06_1"/>
      <w:bookmarkEnd w:id="2"/>
      <w:bookmarkStart w:id="3" w:name="END_IS_ZERO_06_2"/>
      <w:bookmarkEnd w:id="3"/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2024年本部门会议费预算0万元，拟召开0次会议，人数0人；培训费预算0万元，拟开展0次培训，人数0人；2024年度本部门未计划举办节庆、晚会、论坛、赛事活动。</w:t>
      </w:r>
    </w:p>
    <w:p>
      <w:p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2024年本部门政府采购预算总额119万元，其中，货物类采购预算52万元；工程类采购预算0万元；服务类采购预算67万元。</w:t>
      </w:r>
    </w:p>
    <w:p>
      <w:p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截至2023年12月底，本部门共有公务用车1辆，其中，机要通信用车0辆，应急保障用车0辆，执法执勤用车0辆，特种专业技术用车0辆，其他按照规定配备的公务用车1辆；单位价值50万元以上设备0台，其中，单位价值100万元以上设备0台。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2024年拟新增配置公务用车0辆，其中，机要通信用车0辆，应急保障用车0辆，执法执勤用车0辆，特种专业技术用车0辆，其他按照规定配备的公务用车0辆；新增配备单位价值50万元以上设备0台，其中，单位价值100万元以上设备0台。</w:t>
      </w:r>
    </w:p>
    <w:p>
      <w:p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本部门所有支出实行绩效目标管理。纳入2024年部门整体支出绩效目标的金额为2517.84万元，其中，基本支出304.66万元，项目支出2213.18万元，具体绩效目标详见文尾附表中部门预算公开表21-22表。</w:t>
      </w:r>
    </w:p>
    <w:p>
      <w:pPr>
        <w:ind w:firstLine="643" w:firstLineChars="200"/>
        <w:rPr>
          <w:rFonts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spacing w:line="570" w:lineRule="atLeas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spacing w:line="570" w:lineRule="atLeast"/>
        <w:ind w:firstLine="643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pStyle w:val="6"/>
        <w:widowControl/>
        <w:spacing w:beforeAutospacing="0" w:afterAutospacing="0" w:line="22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</w:p>
    <w:p>
      <w:pPr>
        <w:pStyle w:val="6"/>
        <w:widowControl/>
        <w:spacing w:beforeAutospacing="0" w:afterAutospacing="0" w:line="22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</w:p>
    <w:p>
      <w:pPr>
        <w:pStyle w:val="6"/>
        <w:widowControl/>
        <w:spacing w:beforeAutospacing="0" w:afterAutospacing="0" w:line="22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</w:p>
    <w:p>
      <w:pPr>
        <w:pStyle w:val="6"/>
        <w:widowControl/>
        <w:spacing w:beforeAutospacing="0" w:afterAutospacing="0" w:line="22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</w:p>
    <w:p>
      <w:pPr>
        <w:pStyle w:val="6"/>
        <w:widowControl/>
        <w:spacing w:beforeAutospacing="0" w:afterAutospacing="0" w:line="22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</w:p>
    <w:p>
      <w:pPr>
        <w:pStyle w:val="6"/>
        <w:widowControl/>
        <w:spacing w:beforeAutospacing="0" w:afterAutospacing="0" w:line="22" w:lineRule="atLeast"/>
        <w:jc w:val="center"/>
        <w:textAlignment w:val="center"/>
        <w:rPr>
          <w:rFonts w:ascii="方正小标宋简体" w:hAnsi="Times New Roman" w:eastAsia="方正小标宋简体"/>
          <w:b/>
          <w:bCs/>
          <w:sz w:val="36"/>
          <w:szCs w:val="36"/>
        </w:rPr>
      </w:pPr>
    </w:p>
    <w:p>
      <w:pPr>
        <w:pStyle w:val="6"/>
        <w:widowControl/>
        <w:spacing w:beforeAutospacing="0" w:afterAutospacing="0" w:line="22" w:lineRule="atLeast"/>
        <w:jc w:val="center"/>
        <w:textAlignment w:val="center"/>
        <w:rPr>
          <w:rFonts w:asciiTheme="minorEastAsia" w:hAnsiTheme="minorEastAsia" w:cstheme="minorEastAsia"/>
          <w:sz w:val="28"/>
          <w:szCs w:val="28"/>
        </w:rPr>
      </w:pPr>
      <w:bookmarkStart w:id="4" w:name="_GoBack"/>
      <w:bookmarkEnd w:id="4"/>
      <w:r>
        <w:rPr>
          <w:rFonts w:hint="eastAsia" w:ascii="方正小标宋简体" w:hAnsi="Times New Roman" w:eastAsia="方正小标宋简体"/>
          <w:b/>
          <w:bCs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pStyle w:val="6"/>
        <w:widowControl/>
        <w:spacing w:beforeAutospacing="0" w:afterAutospacing="0" w:line="22" w:lineRule="atLeast"/>
        <w:ind w:firstLine="640" w:firstLineChars="200"/>
        <w:jc w:val="both"/>
        <w:textAlignment w:val="center"/>
        <w:rPr>
          <w:rFonts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</w:rPr>
      </w:pPr>
    </w:p>
    <w:p>
      <w:pPr>
        <w:pStyle w:val="6"/>
        <w:widowControl/>
        <w:spacing w:beforeAutospacing="0" w:afterAutospacing="0" w:line="22" w:lineRule="atLeast"/>
        <w:ind w:firstLine="640" w:firstLineChars="200"/>
        <w:jc w:val="both"/>
        <w:textAlignment w:val="center"/>
        <w:rPr>
          <w:rFonts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</w:rPr>
      </w:pPr>
    </w:p>
    <w:p>
      <w:pPr>
        <w:pStyle w:val="6"/>
        <w:widowControl/>
        <w:spacing w:beforeAutospacing="0" w:afterAutospacing="0" w:line="22" w:lineRule="atLeast"/>
        <w:ind w:firstLine="643" w:firstLineChars="200"/>
        <w:jc w:val="both"/>
        <w:textAlignment w:val="center"/>
        <w:rPr>
          <w:rFonts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</w:rPr>
        <w:t>附件：岳阳市君山区医疗保障局2024年部门预算公开表</w:t>
      </w:r>
    </w:p>
    <w:p>
      <w:pPr>
        <w:pStyle w:val="6"/>
        <w:widowControl/>
        <w:spacing w:beforeAutospacing="0" w:afterAutospacing="0" w:line="22" w:lineRule="atLeast"/>
        <w:jc w:val="both"/>
        <w:textAlignment w:val="center"/>
        <w:rPr>
          <w:rFonts w:asciiTheme="minorEastAsia" w:hAnsiTheme="minorEastAsia" w:cstheme="minorEastAsia"/>
          <w:b/>
          <w:bCs/>
          <w:color w:val="333333"/>
          <w:sz w:val="28"/>
          <w:szCs w:val="28"/>
          <w:shd w:val="clear" w:color="auto" w:fill="FFFFFF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250E854"/>
    <w:multiLevelType w:val="singleLevel"/>
    <w:tmpl w:val="A250E854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jk0MzkxYTllNGUzYWMwZmMyNjFiNTViYzNiYzdlYTAifQ=="/>
  </w:docVars>
  <w:rsids>
    <w:rsidRoot w:val="637274E6"/>
    <w:rsid w:val="00243807"/>
    <w:rsid w:val="005C52AF"/>
    <w:rsid w:val="00626476"/>
    <w:rsid w:val="006C449A"/>
    <w:rsid w:val="006F29CC"/>
    <w:rsid w:val="007663F5"/>
    <w:rsid w:val="009C4459"/>
    <w:rsid w:val="00AC236D"/>
    <w:rsid w:val="00B16288"/>
    <w:rsid w:val="00EE5EC1"/>
    <w:rsid w:val="00F41B7F"/>
    <w:rsid w:val="00F91914"/>
    <w:rsid w:val="010D1261"/>
    <w:rsid w:val="03CE365E"/>
    <w:rsid w:val="05974297"/>
    <w:rsid w:val="066547B5"/>
    <w:rsid w:val="0794481D"/>
    <w:rsid w:val="0BC81D71"/>
    <w:rsid w:val="0BD240F7"/>
    <w:rsid w:val="0C923A83"/>
    <w:rsid w:val="0E5B42C5"/>
    <w:rsid w:val="112B4160"/>
    <w:rsid w:val="11A2545A"/>
    <w:rsid w:val="167C1082"/>
    <w:rsid w:val="16FB76F0"/>
    <w:rsid w:val="1C6F6CFF"/>
    <w:rsid w:val="1C744CBF"/>
    <w:rsid w:val="1ECC4DAF"/>
    <w:rsid w:val="1F8F2DF1"/>
    <w:rsid w:val="20CE0ED9"/>
    <w:rsid w:val="232333DF"/>
    <w:rsid w:val="25143192"/>
    <w:rsid w:val="2C8B2374"/>
    <w:rsid w:val="2CD84711"/>
    <w:rsid w:val="2D3A78E3"/>
    <w:rsid w:val="328F1D91"/>
    <w:rsid w:val="436D70FC"/>
    <w:rsid w:val="4AF62C56"/>
    <w:rsid w:val="4C7C7E37"/>
    <w:rsid w:val="4DBA372C"/>
    <w:rsid w:val="4E511DD4"/>
    <w:rsid w:val="4EE728E7"/>
    <w:rsid w:val="51B62990"/>
    <w:rsid w:val="5B525B22"/>
    <w:rsid w:val="5BCD52BC"/>
    <w:rsid w:val="62CB7F2F"/>
    <w:rsid w:val="637274E6"/>
    <w:rsid w:val="68675E30"/>
    <w:rsid w:val="6D6656CC"/>
    <w:rsid w:val="6DE7565E"/>
    <w:rsid w:val="73626AED"/>
    <w:rsid w:val="78CC0C1A"/>
    <w:rsid w:val="7C7F7F1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Balloon Text"/>
    <w:basedOn w:val="1"/>
    <w:link w:val="12"/>
    <w:uiPriority w:val="0"/>
    <w:rPr>
      <w:sz w:val="18"/>
      <w:szCs w:val="18"/>
    </w:rPr>
  </w:style>
  <w:style w:type="paragraph" w:styleId="4">
    <w:name w:val="footer"/>
    <w:basedOn w:val="1"/>
    <w:link w:val="1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character" w:customStyle="1" w:styleId="10">
    <w:name w:val="页眉 Char"/>
    <w:basedOn w:val="8"/>
    <w:link w:val="5"/>
    <w:uiPriority w:val="0"/>
    <w:rPr>
      <w:kern w:val="2"/>
      <w:sz w:val="18"/>
      <w:szCs w:val="18"/>
    </w:rPr>
  </w:style>
  <w:style w:type="character" w:customStyle="1" w:styleId="11">
    <w:name w:val="页脚 Char"/>
    <w:basedOn w:val="8"/>
    <w:link w:val="4"/>
    <w:uiPriority w:val="0"/>
    <w:rPr>
      <w:kern w:val="2"/>
      <w:sz w:val="18"/>
      <w:szCs w:val="18"/>
    </w:rPr>
  </w:style>
  <w:style w:type="character" w:customStyle="1" w:styleId="12">
    <w:name w:val="批注框文本 Char"/>
    <w:basedOn w:val="8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Book1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</c:title>
    <c:autoTitleDeleted val="0"/>
    <c:plotArea>
      <c:layout/>
      <c:pieChart>
        <c:varyColors val="1"/>
        <c:ser>
          <c:idx val="0"/>
          <c:order val="0"/>
          <c:explosion val="0"/>
          <c:dPt>
            <c:idx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[Book1.xlsx]Sheet1!$A$6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[Book1.xlsx]Sheet1!$A$7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700737532808399"/>
          <c:y val="0.0547878390201225"/>
          <c:w val="0.236068022747157"/>
          <c:h val="0.307090988626422"/>
        </c:manualLayout>
      </c:layout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zero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>
        <c:manualLayout>
          <c:layoutTarget val="inner"/>
          <c:xMode val="edge"/>
          <c:yMode val="edge"/>
          <c:x val="0.115753557121149"/>
          <c:y val="0.365522640710961"/>
          <c:w val="0.826511949164249"/>
          <c:h val="0.612797291578502"/>
        </c:manualLayout>
      </c:layout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4"/>
            <c:bubble3D val="0"/>
            <c:spPr>
              <a:gradFill>
                <a:gsLst>
                  <a:gs pos="100000">
                    <a:schemeClr val="accent5"/>
                  </a:gs>
                  <a:gs pos="0">
                    <a:schemeClr val="accent5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5">
                        <a:lumMod val="75000"/>
                      </a:schemeClr>
                    </a:gs>
                    <a:gs pos="0">
                      <a:schemeClr val="accent5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Pt>
            <c:idx val="5"/>
            <c:bubble3D val="0"/>
            <c:spPr>
              <a:gradFill>
                <a:gsLst>
                  <a:gs pos="100000">
                    <a:schemeClr val="accent6"/>
                  </a:gs>
                  <a:gs pos="0">
                    <a:schemeClr val="accent6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6">
                        <a:lumMod val="75000"/>
                      </a:schemeClr>
                    </a:gs>
                    <a:gs pos="0">
                      <a:schemeClr val="accent6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Lbls>
            <c:dLbl>
              <c:idx val="0"/>
              <c:layout>
                <c:manualLayout>
                  <c:x val="-0.19374103183862"/>
                  <c:y val="-0.00069292392173247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0.192287838975576"/>
                  <c:y val="0.016557278473896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07291854650271"/>
                  <c:y val="-0.116992867790304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.122203276886097"/>
                  <c:y val="-0.0334670747349548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[收入预算图.xlsx]Sheet1!$B$2:$B$7</c:f>
              <c:strCache>
                <c:ptCount val="6"/>
                <c:pt idx="0">
                  <c:v>社会保障和就业支出</c:v>
                </c:pt>
                <c:pt idx="1">
                  <c:v>卫生健康支出</c:v>
                </c:pt>
                <c:pt idx="3">
                  <c:v>住房保障支出</c:v>
                </c:pt>
              </c:strCache>
            </c:strRef>
          </c:cat>
          <c:val>
            <c:numRef>
              <c:f>[收入预算图.xlsx]Sheet1!$C$2:$C$7</c:f>
              <c:numCache>
                <c:formatCode>0.00%</c:formatCode>
                <c:ptCount val="6"/>
                <c:pt idx="0">
                  <c:v>0.0132</c:v>
                </c:pt>
                <c:pt idx="1">
                  <c:v>0.9772</c:v>
                </c:pt>
                <c:pt idx="3">
                  <c:v>0.0096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12</Pages>
  <Words>4059</Words>
  <Characters>4352</Characters>
  <Lines>31</Lines>
  <Paragraphs>8</Paragraphs>
  <TotalTime>11</TotalTime>
  <ScaleCrop>false</ScaleCrop>
  <LinksUpToDate>false</LinksUpToDate>
  <CharactersWithSpaces>4360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Administrator</cp:lastModifiedBy>
  <dcterms:modified xsi:type="dcterms:W3CDTF">2024-06-20T09:52:37Z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60BC7339106041DA91BAB39D0CD3151D_13</vt:lpwstr>
  </property>
</Properties>
</file>