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岳阳市君山区医疗保障事务中心</w:t>
      </w:r>
    </w:p>
    <w:p>
      <w:pPr>
        <w:spacing w:line="570" w:lineRule="atLeast"/>
        <w:jc w:val="center"/>
        <w:rPr>
          <w:rFonts w:ascii="黑体" w:hAnsi="黑体" w:eastAsia="黑体" w:cs="黑体"/>
          <w:b/>
          <w:bCs/>
          <w:sz w:val="48"/>
          <w:szCs w:val="48"/>
        </w:rPr>
      </w:pPr>
      <w:r>
        <w:rPr>
          <w:rFonts w:hint="eastAsia" w:ascii="方正小标宋简体" w:hAnsi="方正小标宋简体" w:eastAsia="方正小标宋简体" w:cs="方正小标宋简体"/>
          <w:b/>
          <w:bCs/>
          <w:sz w:val="44"/>
          <w:szCs w:val="44"/>
        </w:rPr>
        <w:t>2024年部门预算公开</w:t>
      </w:r>
    </w:p>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r>
        <w:rPr>
          <w:rFonts w:hint="eastAsia" w:ascii="Times New Roman" w:hAnsi="Times New Roman" w:eastAsia="黑体" w:cs="Times New Roman"/>
          <w:b/>
          <w:kern w:val="0"/>
          <w:sz w:val="36"/>
          <w:szCs w:val="36"/>
        </w:rPr>
        <w:t>目 录</w:t>
      </w:r>
    </w:p>
    <w:p>
      <w:pPr>
        <w:ind w:firstLine="643" w:firstLineChars="200"/>
        <w:rPr>
          <w:rFonts w:asciiTheme="minorEastAsia" w:hAnsiTheme="minorEastAsia" w:cstheme="minorEastAsia"/>
          <w:sz w:val="28"/>
          <w:szCs w:val="28"/>
        </w:rPr>
      </w:pPr>
      <w:r>
        <w:rPr>
          <w:rFonts w:hint="eastAsia" w:ascii="黑体" w:hAnsi="黑体" w:eastAsia="黑体" w:cs="黑体"/>
          <w:b/>
          <w:bCs/>
          <w:kern w:val="0"/>
          <w:sz w:val="32"/>
          <w:szCs w:val="32"/>
        </w:rPr>
        <w:t>第一部分 2024年部门预算说明</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一、部门基本概况</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二、部门预算单位构成</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三、部门收支总体情况</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四、一般公共预算拨款支出</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五、政府性基金预算支出</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六、其他重要事项的情况说明</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七、名词解释</w:t>
      </w:r>
    </w:p>
    <w:p>
      <w:pPr>
        <w:ind w:firstLine="643" w:firstLineChars="200"/>
        <w:rPr>
          <w:rFonts w:asciiTheme="minorEastAsia" w:hAnsiTheme="minorEastAsia" w:cstheme="minorEastAsia"/>
          <w:sz w:val="28"/>
          <w:szCs w:val="28"/>
        </w:rPr>
      </w:pPr>
      <w:r>
        <w:rPr>
          <w:rFonts w:hint="eastAsia" w:ascii="黑体" w:hAnsi="黑体" w:eastAsia="黑体" w:cs="黑体"/>
          <w:b/>
          <w:bCs/>
          <w:kern w:val="0"/>
          <w:sz w:val="32"/>
          <w:szCs w:val="32"/>
        </w:rPr>
        <w:t>第二部分 2024年部门预算表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jc w:val="center"/>
        <w:rPr>
          <w:rFonts w:asciiTheme="minorEastAsia" w:hAnsiTheme="minorEastAsia" w:cstheme="minorEastAsia"/>
          <w:b/>
          <w:bCs/>
          <w:sz w:val="28"/>
          <w:szCs w:val="28"/>
        </w:rPr>
      </w:pPr>
    </w:p>
    <w:p>
      <w:pPr>
        <w:jc w:val="center"/>
        <w:rPr>
          <w:rFonts w:ascii="Times New Roman" w:hAnsi="Times New Roman" w:eastAsia="方正小标宋_GBK" w:cs="Times New Roman"/>
          <w:b/>
          <w:bCs/>
          <w:kern w:val="0"/>
          <w:sz w:val="36"/>
          <w:szCs w:val="36"/>
        </w:rPr>
      </w:pPr>
      <w:r>
        <w:rPr>
          <w:rFonts w:hint="eastAsia" w:ascii="Times New Roman" w:hAnsi="Times New Roman" w:eastAsia="方正小标宋_GBK" w:cs="Times New Roman"/>
          <w:b/>
          <w:bCs/>
          <w:kern w:val="0"/>
          <w:sz w:val="36"/>
          <w:szCs w:val="36"/>
        </w:rPr>
        <w:t>第一部分 部门预算公开说明</w:t>
      </w:r>
    </w:p>
    <w:p>
      <w:pPr>
        <w:ind w:firstLine="643" w:firstLineChars="200"/>
        <w:rPr>
          <w:rFonts w:ascii="Times New Roman" w:hAnsi="Times New Roman" w:eastAsia="黑体" w:cs="Times New Roman"/>
          <w:b/>
          <w:bCs/>
          <w:kern w:val="0"/>
          <w:sz w:val="32"/>
          <w:szCs w:val="32"/>
        </w:rPr>
      </w:pPr>
    </w:p>
    <w:p>
      <w:pPr>
        <w:ind w:firstLine="643" w:firstLineChars="200"/>
        <w:rPr>
          <w:rFonts w:asciiTheme="minorEastAsia" w:hAnsiTheme="minorEastAsia" w:cstheme="minorEastAsia"/>
          <w:b/>
          <w:bCs/>
          <w:sz w:val="28"/>
          <w:szCs w:val="28"/>
        </w:rPr>
      </w:pPr>
      <w:r>
        <w:rPr>
          <w:rFonts w:hint="eastAsia" w:ascii="Times New Roman" w:hAnsi="Times New Roman" w:eastAsia="黑体" w:cs="Times New Roman"/>
          <w:b/>
          <w:bCs/>
          <w:kern w:val="0"/>
          <w:sz w:val="32"/>
          <w:szCs w:val="32"/>
        </w:rPr>
        <w:t>一、部门基本概况</w:t>
      </w:r>
    </w:p>
    <w:p>
      <w:pPr>
        <w:spacing w:line="570" w:lineRule="atLeast"/>
        <w:ind w:firstLine="643"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（一）职能职责</w:t>
      </w:r>
    </w:p>
    <w:p>
      <w:pPr>
        <w:adjustRightInd w:val="0"/>
        <w:snapToGrid w:val="0"/>
        <w:spacing w:line="576" w:lineRule="exact"/>
        <w:rPr>
          <w:rFonts w:ascii="仿宋_GB2312" w:hAnsi="仿宋" w:eastAsia="仿宋_GB2312" w:cs="宋体"/>
          <w:sz w:val="32"/>
          <w:szCs w:val="32"/>
        </w:rPr>
      </w:pPr>
      <w:r>
        <w:rPr>
          <w:rFonts w:hint="eastAsia" w:ascii="仿宋_GB2312" w:hAnsi="仿宋" w:eastAsia="仿宋_GB2312" w:cs="宋体"/>
          <w:sz w:val="32"/>
          <w:szCs w:val="32"/>
        </w:rPr>
        <w:t xml:space="preserve">  1、负责职责范围内的医疗保障关系建立、中断、转移、接续、终止等经办事务。</w:t>
      </w:r>
    </w:p>
    <w:p>
      <w:pPr>
        <w:adjustRightInd w:val="0"/>
        <w:snapToGrid w:val="0"/>
        <w:spacing w:line="576" w:lineRule="exact"/>
        <w:rPr>
          <w:rFonts w:ascii="仿宋_GB2312" w:hAnsi="仿宋" w:eastAsia="仿宋_GB2312" w:cs="宋体"/>
          <w:sz w:val="32"/>
          <w:szCs w:val="32"/>
        </w:rPr>
      </w:pPr>
      <w:r>
        <w:rPr>
          <w:rFonts w:hint="eastAsia" w:ascii="仿宋_GB2312" w:hAnsi="仿宋" w:eastAsia="仿宋_GB2312" w:cs="宋体"/>
          <w:sz w:val="32"/>
          <w:szCs w:val="32"/>
        </w:rPr>
        <w:t xml:space="preserve">    2、负责职责范围内的医疗保障基金（费）、离退干部统筹金的管理、运营、结算等经办事务。</w:t>
      </w:r>
    </w:p>
    <w:p>
      <w:pPr>
        <w:adjustRightInd w:val="0"/>
        <w:snapToGrid w:val="0"/>
        <w:spacing w:line="576" w:lineRule="exact"/>
        <w:rPr>
          <w:rFonts w:ascii="仿宋_GB2312" w:hAnsi="仿宋" w:eastAsia="仿宋_GB2312" w:cs="宋体"/>
          <w:sz w:val="32"/>
          <w:szCs w:val="32"/>
        </w:rPr>
      </w:pPr>
      <w:r>
        <w:rPr>
          <w:rFonts w:hint="eastAsia" w:ascii="仿宋_GB2312" w:hAnsi="仿宋" w:eastAsia="仿宋_GB2312" w:cs="宋体"/>
          <w:sz w:val="32"/>
          <w:szCs w:val="32"/>
        </w:rPr>
        <w:t xml:space="preserve">    3、拟定职责范围内的医疗保障经办事务的操作流程及与流程相关的管理办法。</w:t>
      </w:r>
    </w:p>
    <w:p>
      <w:pPr>
        <w:adjustRightInd w:val="0"/>
        <w:snapToGrid w:val="0"/>
        <w:spacing w:line="576" w:lineRule="exact"/>
        <w:rPr>
          <w:rFonts w:ascii="仿宋_GB2312" w:hAnsi="仿宋" w:eastAsia="仿宋_GB2312" w:cs="宋体"/>
          <w:sz w:val="32"/>
          <w:szCs w:val="32"/>
        </w:rPr>
      </w:pPr>
      <w:r>
        <w:rPr>
          <w:rFonts w:hint="eastAsia" w:ascii="仿宋_GB2312" w:hAnsi="仿宋" w:eastAsia="仿宋_GB2312" w:cs="宋体"/>
          <w:sz w:val="32"/>
          <w:szCs w:val="32"/>
        </w:rPr>
        <w:t xml:space="preserve">    4、拟定职责范围内的基本医疗保障个人账户管理工作的规范、对账制度及统筹基金的事务管理规范。</w:t>
      </w:r>
    </w:p>
    <w:p>
      <w:pPr>
        <w:adjustRightInd w:val="0"/>
        <w:snapToGrid w:val="0"/>
        <w:spacing w:line="576" w:lineRule="exact"/>
        <w:rPr>
          <w:rFonts w:ascii="仿宋_GB2312" w:hAnsi="仿宋" w:eastAsia="仿宋_GB2312" w:cs="宋体"/>
          <w:sz w:val="32"/>
          <w:szCs w:val="32"/>
        </w:rPr>
      </w:pPr>
      <w:r>
        <w:rPr>
          <w:rFonts w:hint="eastAsia" w:ascii="仿宋_GB2312" w:hAnsi="仿宋" w:eastAsia="仿宋_GB2312" w:cs="宋体"/>
          <w:sz w:val="32"/>
          <w:szCs w:val="32"/>
        </w:rPr>
        <w:t xml:space="preserve">    5、参与拟定与职责范围内的保障经办事务相关的药品目录、诊疗项目目录、医疗服务设施标准、住院服务标准、康复性治疗目录以及费用结算办法；订立医疗机构、零售药店服务协议并组织实施。</w:t>
      </w:r>
    </w:p>
    <w:p>
      <w:pPr>
        <w:adjustRightInd w:val="0"/>
        <w:snapToGrid w:val="0"/>
        <w:spacing w:line="576" w:lineRule="exact"/>
        <w:rPr>
          <w:rFonts w:ascii="仿宋_GB2312" w:hAnsi="仿宋" w:eastAsia="仿宋_GB2312" w:cs="宋体"/>
          <w:sz w:val="32"/>
          <w:szCs w:val="32"/>
        </w:rPr>
      </w:pPr>
      <w:r>
        <w:rPr>
          <w:rFonts w:hint="eastAsia" w:ascii="仿宋_GB2312" w:hAnsi="仿宋" w:eastAsia="仿宋_GB2312" w:cs="宋体"/>
          <w:sz w:val="32"/>
          <w:szCs w:val="32"/>
        </w:rPr>
        <w:t xml:space="preserve">    6、负责对职责范围内的保障基金财务报表的汇总编制，定期公布基金收支情况，承担基金内部审计工作。</w:t>
      </w:r>
    </w:p>
    <w:p>
      <w:pPr>
        <w:widowControl/>
        <w:spacing w:line="600" w:lineRule="exact"/>
        <w:ind w:left="627"/>
        <w:jc w:val="left"/>
        <w:rPr>
          <w:rFonts w:hint="eastAsia" w:eastAsia="楷体_GB2312"/>
          <w:b/>
          <w:sz w:val="32"/>
          <w:szCs w:val="32"/>
        </w:rPr>
      </w:pPr>
      <w:r>
        <w:rPr>
          <w:rFonts w:hint="eastAsia" w:ascii="仿宋_GB2312" w:hAnsi="仿宋" w:eastAsia="仿宋_GB2312" w:cs="宋体"/>
          <w:sz w:val="32"/>
          <w:szCs w:val="32"/>
        </w:rPr>
        <w:t>7、承担区医疗保障局交办的其他事项。</w:t>
      </w:r>
    </w:p>
    <w:p>
      <w:pPr>
        <w:spacing w:line="570" w:lineRule="atLeast"/>
        <w:ind w:firstLine="643" w:firstLineChars="200"/>
        <w:rPr>
          <w:rFonts w:ascii="仿宋_GB2312" w:hAnsi="仿宋_GB2312" w:eastAsia="仿宋_GB2312" w:cs="仿宋_GB2312"/>
          <w:b/>
          <w:bCs/>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（二）机构设置</w:t>
      </w:r>
    </w:p>
    <w:p>
      <w:pPr>
        <w:adjustRightInd w:val="0"/>
        <w:snapToGrid w:val="0"/>
        <w:spacing w:line="576" w:lineRule="exact"/>
        <w:rPr>
          <w:rFonts w:ascii="仿宋_GB2312" w:eastAsia="仿宋_GB2312"/>
          <w:sz w:val="32"/>
          <w:szCs w:val="32"/>
        </w:rPr>
      </w:pPr>
      <w:r>
        <w:rPr>
          <w:rFonts w:hint="eastAsia" w:ascii="仿宋_GB2312" w:eastAsia="仿宋_GB2312"/>
          <w:sz w:val="32"/>
          <w:szCs w:val="32"/>
        </w:rPr>
        <w:t xml:space="preserve">    内设4个股室。具体为：综合办公室、财务室、医疗审核结算和特门室、稽查审计监督室</w:t>
      </w:r>
      <w:r>
        <w:rPr>
          <w:rFonts w:ascii="仿宋_GB2312" w:eastAsia="仿宋_GB2312"/>
          <w:sz w:val="32"/>
          <w:szCs w:val="32"/>
        </w:rPr>
        <w:t>。</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 xml:space="preserve">   </w:t>
      </w:r>
    </w:p>
    <w:p>
      <w:pPr>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二、部门预算单位构成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Theme="minorEastAsia" w:hAnsiTheme="minorEastAsia" w:eastAsiaTheme="minorEastAsia" w:cstheme="minorEastAsia"/>
          <w:i w:val="0"/>
          <w:iCs w:val="0"/>
          <w:caps w:val="0"/>
          <w:color w:val="333333"/>
          <w:spacing w:val="0"/>
          <w:sz w:val="28"/>
          <w:szCs w:val="28"/>
          <w:shd w:val="clear" w:fill="FFFFFF"/>
        </w:rPr>
      </w:pPr>
      <w:bookmarkStart w:id="0" w:name="DEPT_COMPOSE"/>
      <w:r>
        <w:rPr>
          <w:rFonts w:hint="eastAsia" w:eastAsia="仿宋_GB2312"/>
          <w:sz w:val="32"/>
          <w:szCs w:val="32"/>
          <w:lang w:eastAsia="zh-CN"/>
        </w:rPr>
        <w:t>岳阳市君山区医疗保障事务中心</w:t>
      </w:r>
      <w:r>
        <w:rPr>
          <w:rFonts w:hint="eastAsia" w:ascii="仿宋_GB2312" w:hAnsi="仿宋_GB2312" w:eastAsia="仿宋_GB2312" w:cs="仿宋_GB2312"/>
          <w:color w:val="000000"/>
          <w:kern w:val="2"/>
          <w:sz w:val="32"/>
          <w:szCs w:val="32"/>
          <w:shd w:val="clear" w:color="auto" w:fill="FFFFFF"/>
          <w:lang w:val="en-US" w:eastAsia="zh-CN" w:bidi="ar-SA"/>
        </w:rPr>
        <w:t>部门只有本级，没有其他二级预算单位，因此，纳入2024年部门预算编制范围的只有</w:t>
      </w:r>
      <w:r>
        <w:rPr>
          <w:rFonts w:hint="eastAsia" w:eastAsia="仿宋_GB2312"/>
          <w:sz w:val="32"/>
          <w:szCs w:val="32"/>
          <w:lang w:eastAsia="zh-CN"/>
        </w:rPr>
        <w:t>岳阳市君山区医疗保障事务中心</w:t>
      </w:r>
      <w:r>
        <w:rPr>
          <w:rFonts w:hint="eastAsia" w:ascii="仿宋_GB2312" w:hAnsi="仿宋_GB2312" w:eastAsia="仿宋_GB2312" w:cs="仿宋_GB2312"/>
          <w:color w:val="000000"/>
          <w:kern w:val="2"/>
          <w:sz w:val="32"/>
          <w:szCs w:val="32"/>
          <w:shd w:val="clear" w:color="auto" w:fill="FFFFFF"/>
          <w:lang w:val="en-US" w:eastAsia="zh-CN" w:bidi="ar-SA"/>
        </w:rPr>
        <w:t>本级。</w:t>
      </w:r>
      <w:bookmarkEnd w:id="0"/>
    </w:p>
    <w:p>
      <w:pPr>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三、部门收支总体情况</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本单位2024年没有政府性基金预算拨款、国有资本经营预算收入和纳入专户管理的非税收入拨款收入，也没有使用政府性基金预算拨款、国有资本经营预算收入和纳入专户管理的非税收入拨款安排的支出，所以部门预算公开表15、16、17、18、19表均为空。</w:t>
      </w:r>
    </w:p>
    <w:p>
      <w:pPr>
        <w:numPr>
          <w:ilvl w:val="0"/>
          <w:numId w:val="1"/>
        </w:numPr>
        <w:spacing w:line="570" w:lineRule="atLeast"/>
        <w:ind w:firstLine="643"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收入预算：</w:t>
      </w:r>
      <w:r>
        <w:rPr>
          <w:rFonts w:hint="eastAsia" w:ascii="仿宋_GB2312" w:hAnsi="仿宋_GB2312" w:eastAsia="仿宋_GB2312" w:cs="仿宋_GB2312"/>
          <w:color w:val="000000"/>
          <w:sz w:val="32"/>
          <w:szCs w:val="32"/>
          <w:shd w:val="clear" w:color="auto" w:fill="FFFFFF"/>
        </w:rPr>
        <w:t>包括一般公共预算、政府性基金、国有资本经营预算等财政拨款收入，以及经营收入、事业收入等单位资金。2024年本单位收入预算1917.4万元，其中，一般公共预算拨款1917.4万元，政府性基金预算资金0.00万元(所以部门预算公开表15-17表为空)，国有资本经营预算资金0.00万元(所以部门预算公开表18表为空)，财政专户管理资金0.00万元(所以部门预算公开表19表为空)，上级补助收入资金0.00万元，事业单位经营收入资金0.00万元，上年结转结余0.00万元。收入较上年减少34.65万元，下降1.81%。主要原因是国家提倡过紧日，专项业务工作经费下降，从而导致预算收入减少。</w:t>
      </w:r>
    </w:p>
    <w:p>
      <w:pPr>
        <w:numPr>
          <w:ilvl w:val="0"/>
          <w:numId w:val="0"/>
        </w:numPr>
        <w:spacing w:line="570" w:lineRule="atLeast"/>
      </w:pPr>
      <w:r>
        <w:rPr>
          <w:rFonts w:hint="eastAsia"/>
          <w:lang w:val="en-US" w:eastAsia="zh-CN"/>
        </w:rPr>
        <w:t xml:space="preserve">    </w:t>
      </w:r>
      <w:r>
        <w:drawing>
          <wp:inline distT="0" distB="0" distL="114300" distR="114300">
            <wp:extent cx="4886325" cy="2667000"/>
            <wp:effectExtent l="6350" t="6350" r="22225" b="12700"/>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pPr>
        <w:pStyle w:val="2"/>
        <w:ind w:firstLine="0"/>
      </w:pPr>
    </w:p>
    <w:p>
      <w:pPr>
        <w:numPr>
          <w:ilvl w:val="0"/>
          <w:numId w:val="1"/>
        </w:numPr>
        <w:spacing w:line="570" w:lineRule="atLeast"/>
        <w:ind w:firstLine="643"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支出预算：</w:t>
      </w:r>
      <w:r>
        <w:rPr>
          <w:rFonts w:hint="eastAsia" w:ascii="仿宋_GB2312" w:hAnsi="仿宋_GB2312" w:eastAsia="仿宋_GB2312" w:cs="仿宋_GB2312"/>
          <w:color w:val="000000"/>
          <w:sz w:val="32"/>
          <w:szCs w:val="32"/>
          <w:shd w:val="clear" w:color="auto" w:fill="FFFFFF"/>
        </w:rPr>
        <w:t>2024年本单位支出预算1917.4万元，其中：社会保障和就业支出27万元，卫生健康支出1870.6万元，住房保障支出19.8万元。支出较上年减少34.65万元，下降1.81%。主要原因是国家提倡过紧日，业务工作经费下降，从而导致预算收入减少。</w:t>
      </w:r>
    </w:p>
    <w:p>
      <w:pPr>
        <w:numPr>
          <w:ilvl w:val="0"/>
          <w:numId w:val="0"/>
        </w:numPr>
        <w:spacing w:line="570" w:lineRule="atLeast"/>
      </w:pPr>
      <w:r>
        <w:rPr>
          <w:rFonts w:hint="eastAsia"/>
          <w:lang w:val="en-US" w:eastAsia="zh-CN"/>
        </w:rPr>
        <w:t xml:space="preserve">         </w:t>
      </w:r>
      <w:r>
        <w:drawing>
          <wp:inline distT="0" distB="0" distL="114300" distR="114300">
            <wp:extent cx="4596765" cy="3001010"/>
            <wp:effectExtent l="4445" t="4445" r="8890" b="23495"/>
            <wp:docPr id="2" name="图表 1" descr="7b0a202020202263686172745265734964223a20223230343735353931220a7d0a"/>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四、一般公共预算拨款支出</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2024年本单位一般公共预算拨款支出1917.4万元，其中：卫生健康支出1870.6万元，占97.56%；社会保障和就业支出27万元，占1.41%，住房保障支出19.8，占1.03%。具体安排情况如下：</w:t>
      </w:r>
    </w:p>
    <w:p>
      <w:pPr>
        <w:spacing w:line="570" w:lineRule="atLeast"/>
        <w:ind w:firstLine="643"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（一）基本支出：</w:t>
      </w:r>
      <w:r>
        <w:rPr>
          <w:rFonts w:hint="eastAsia" w:ascii="仿宋_GB2312" w:hAnsi="仿宋_GB2312" w:eastAsia="仿宋_GB2312" w:cs="仿宋_GB2312"/>
          <w:color w:val="000000"/>
          <w:sz w:val="32"/>
          <w:szCs w:val="32"/>
          <w:shd w:val="clear" w:color="auto" w:fill="FFFFFF"/>
        </w:rPr>
        <w:t>2024年本单位基本支出预算数246.22万元，主要是为保障单位正常运转、完成日常工作任务而发生的各项支出，包括用于基本工资、津贴补贴等人员经费以及办公费、印刷费、水电费、办公设备购置等公用经费。</w:t>
      </w:r>
    </w:p>
    <w:p>
      <w:pPr>
        <w:spacing w:line="570" w:lineRule="atLeast"/>
        <w:ind w:firstLine="643"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（二）项目支出：</w:t>
      </w:r>
      <w:r>
        <w:rPr>
          <w:rFonts w:hint="eastAsia" w:ascii="仿宋_GB2312" w:hAnsi="仿宋_GB2312" w:eastAsia="仿宋_GB2312" w:cs="仿宋_GB2312"/>
          <w:color w:val="000000"/>
          <w:sz w:val="32"/>
          <w:szCs w:val="32"/>
          <w:shd w:val="clear" w:color="auto" w:fill="FFFFFF"/>
        </w:rPr>
        <w:t>2024年本单位项目支出预算1671.18万元，主要是本单位为完成特定工作任务或事业发展目标而发生的支出，包括有关事业发展专项、专项业务费、基本建设支出等，其中：卫生健康支出1671.18万元，主要用于财政对城乡居民医疗保险补助、财政对职工医保离休干部等特殊人群的补助及完成我中心相关工作专项业务费。</w:t>
      </w:r>
    </w:p>
    <w:p>
      <w:pPr>
        <w:ind w:firstLine="643" w:firstLineChars="200"/>
        <w:rPr>
          <w:rFonts w:asciiTheme="minorEastAsia" w:hAnsiTheme="minorEastAsia" w:cstheme="minorEastAsia"/>
          <w:b/>
          <w:bCs/>
          <w:sz w:val="28"/>
          <w:szCs w:val="28"/>
        </w:rPr>
      </w:pPr>
      <w:r>
        <w:rPr>
          <w:rFonts w:hint="eastAsia" w:ascii="Times New Roman" w:hAnsi="Times New Roman" w:eastAsia="黑体" w:cs="Times New Roman"/>
          <w:b/>
          <w:bCs/>
          <w:kern w:val="0"/>
          <w:sz w:val="32"/>
          <w:szCs w:val="32"/>
        </w:rPr>
        <w:t>五、政府性基金预算支出</w:t>
      </w:r>
    </w:p>
    <w:p>
      <w:pPr>
        <w:ind w:firstLine="640" w:firstLineChars="200"/>
        <w:rPr>
          <w:rFonts w:asciiTheme="minorEastAsia" w:hAnsiTheme="minorEastAsia" w:cstheme="minorEastAsia"/>
          <w:color w:val="333333"/>
          <w:sz w:val="28"/>
          <w:szCs w:val="28"/>
          <w:shd w:val="clear" w:color="auto" w:fill="FFFFFF"/>
        </w:rPr>
      </w:pPr>
      <w:r>
        <w:rPr>
          <w:rFonts w:hint="eastAsia" w:ascii="仿宋_GB2312" w:hAnsi="仿宋_GB2312" w:eastAsia="仿宋_GB2312" w:cs="仿宋_GB2312"/>
          <w:color w:val="000000"/>
          <w:sz w:val="32"/>
          <w:szCs w:val="32"/>
          <w:shd w:val="clear" w:color="auto" w:fill="FFFFFF"/>
        </w:rPr>
        <w:t>2024年度本单位无政府性基金安排的支出，所以公开的附件15-17（政府性基金预算）为空。</w:t>
      </w:r>
    </w:p>
    <w:p>
      <w:pPr>
        <w:ind w:firstLine="643" w:firstLineChars="200"/>
        <w:rPr>
          <w:rFonts w:asciiTheme="minorEastAsia" w:hAnsiTheme="minorEastAsia" w:cstheme="minorEastAsia"/>
          <w:b/>
          <w:bCs/>
          <w:sz w:val="28"/>
          <w:szCs w:val="28"/>
        </w:rPr>
      </w:pPr>
      <w:r>
        <w:rPr>
          <w:rFonts w:hint="eastAsia" w:ascii="Times New Roman" w:hAnsi="Times New Roman" w:eastAsia="黑体" w:cs="Times New Roman"/>
          <w:b/>
          <w:bCs/>
          <w:kern w:val="0"/>
          <w:sz w:val="32"/>
          <w:szCs w:val="32"/>
        </w:rPr>
        <w:t>六、其他重要事项的情况说明</w:t>
      </w:r>
    </w:p>
    <w:p>
      <w:pPr>
        <w:ind w:firstLine="643"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（一）机关运行经费：</w:t>
      </w:r>
      <w:r>
        <w:rPr>
          <w:rFonts w:hint="eastAsia" w:ascii="仿宋_GB2312" w:hAnsi="仿宋_GB2312" w:eastAsia="仿宋_GB2312" w:cs="仿宋_GB2312"/>
          <w:color w:val="000000"/>
          <w:sz w:val="32"/>
          <w:szCs w:val="32"/>
          <w:shd w:val="clear" w:color="auto" w:fill="FFFFFF"/>
        </w:rPr>
        <w:t>2024年岳岳阳市君山区医疗保障事务中心机关运行经费</w:t>
      </w:r>
      <w:r>
        <w:rPr>
          <w:rFonts w:hint="eastAsia" w:ascii="仿宋_GB2312" w:hAnsi="仿宋_GB2312" w:eastAsia="仿宋_GB2312" w:cs="仿宋_GB2312"/>
          <w:color w:val="000000"/>
          <w:sz w:val="32"/>
          <w:szCs w:val="32"/>
          <w:shd w:val="clear" w:color="auto" w:fill="FFFFFF"/>
          <w:lang w:val="en-US" w:eastAsia="zh-CN"/>
        </w:rPr>
        <w:t>22.80</w:t>
      </w:r>
      <w:r>
        <w:rPr>
          <w:rFonts w:hint="eastAsia" w:ascii="仿宋_GB2312" w:hAnsi="仿宋_GB2312" w:eastAsia="仿宋_GB2312" w:cs="仿宋_GB2312"/>
          <w:color w:val="000000"/>
          <w:sz w:val="32"/>
          <w:szCs w:val="32"/>
          <w:shd w:val="clear" w:color="auto" w:fill="FFFFFF"/>
        </w:rPr>
        <w:t>万元，与上年预算</w:t>
      </w:r>
      <w:r>
        <w:rPr>
          <w:rFonts w:hint="eastAsia" w:ascii="仿宋_GB2312" w:hAnsi="仿宋_GB2312" w:eastAsia="仿宋_GB2312" w:cs="仿宋_GB2312"/>
          <w:color w:val="000000"/>
          <w:sz w:val="32"/>
          <w:szCs w:val="32"/>
          <w:shd w:val="clear" w:color="auto" w:fill="FFFFFF"/>
          <w:lang w:eastAsia="zh-CN"/>
        </w:rPr>
        <w:t>减少</w:t>
      </w:r>
      <w:r>
        <w:rPr>
          <w:rFonts w:hint="eastAsia" w:ascii="仿宋_GB2312" w:hAnsi="仿宋_GB2312" w:eastAsia="仿宋_GB2312" w:cs="仿宋_GB2312"/>
          <w:color w:val="000000"/>
          <w:sz w:val="32"/>
          <w:szCs w:val="32"/>
          <w:shd w:val="clear" w:color="auto" w:fill="FFFFFF"/>
          <w:lang w:val="en-US" w:eastAsia="zh-CN"/>
        </w:rPr>
        <w:t>5.21万元，下降18.6%</w:t>
      </w:r>
      <w:r>
        <w:rPr>
          <w:rFonts w:hint="eastAsia" w:ascii="仿宋_GB2312" w:hAnsi="仿宋_GB2312" w:eastAsia="仿宋_GB2312" w:cs="仿宋_GB2312"/>
          <w:color w:val="000000"/>
          <w:sz w:val="32"/>
          <w:szCs w:val="32"/>
          <w:shd w:val="clear" w:color="auto" w:fill="FFFFFF"/>
        </w:rPr>
        <w:t>，主要原因为</w:t>
      </w:r>
      <w:r>
        <w:rPr>
          <w:rFonts w:hint="eastAsia" w:ascii="仿宋_GB2312" w:hAnsi="仿宋_GB2312" w:eastAsia="仿宋_GB2312" w:cs="仿宋_GB2312"/>
          <w:color w:val="000000"/>
          <w:sz w:val="32"/>
          <w:szCs w:val="32"/>
          <w:shd w:val="clear" w:color="auto" w:fill="FFFFFF"/>
          <w:lang w:eastAsia="zh-CN"/>
        </w:rPr>
        <w:t>厉行节约，压缩了公用经费支出预算</w:t>
      </w:r>
      <w:r>
        <w:rPr>
          <w:rFonts w:hint="eastAsia" w:ascii="仿宋_GB2312" w:hAnsi="仿宋_GB2312" w:eastAsia="仿宋_GB2312" w:cs="仿宋_GB2312"/>
          <w:color w:val="000000"/>
          <w:sz w:val="32"/>
          <w:szCs w:val="32"/>
          <w:shd w:val="clear" w:color="auto" w:fill="FFFFFF"/>
        </w:rPr>
        <w:t>。</w:t>
      </w:r>
    </w:p>
    <w:p>
      <w:pPr>
        <w:ind w:firstLine="643" w:firstLineChars="200"/>
        <w:rPr>
          <w:rFonts w:hint="eastAsia" w:ascii="仿宋_GB2312" w:hAnsi="仿宋_GB2312" w:eastAsia="仿宋_GB2312" w:cs="仿宋_GB2312"/>
          <w:color w:val="000000"/>
          <w:sz w:val="32"/>
          <w:szCs w:val="32"/>
          <w:shd w:val="clear" w:color="auto" w:fill="FFFFFF"/>
          <w:lang w:eastAsia="zh-CN"/>
        </w:rPr>
      </w:pPr>
      <w:r>
        <w:rPr>
          <w:rFonts w:hint="eastAsia" w:ascii="仿宋_GB2312" w:hAnsi="仿宋_GB2312" w:eastAsia="仿宋_GB2312" w:cs="仿宋_GB2312"/>
          <w:b/>
          <w:bCs/>
          <w:color w:val="000000"/>
          <w:sz w:val="32"/>
          <w:szCs w:val="32"/>
          <w:shd w:val="clear" w:color="auto" w:fill="FFFFFF"/>
        </w:rPr>
        <w:t>（二）“三公”经费预算：</w:t>
      </w:r>
      <w:r>
        <w:rPr>
          <w:rFonts w:hint="eastAsia" w:ascii="仿宋_GB2312" w:hAnsi="仿宋_GB2312" w:eastAsia="仿宋_GB2312" w:cs="仿宋_GB2312"/>
          <w:color w:val="000000"/>
          <w:sz w:val="32"/>
          <w:szCs w:val="32"/>
          <w:shd w:val="clear" w:color="auto" w:fill="FFFFFF"/>
        </w:rPr>
        <w:t>2024年本单位“三公”经费预算数为0万元，其中，公务接待费0万元，公务用车购置及运行费0万元（其中，公务用车购置费0万元，公务用车运行费0万元），因公出国（境）费0万元。2024年“三公”经费预算</w:t>
      </w:r>
      <w:r>
        <w:rPr>
          <w:rFonts w:hint="eastAsia" w:ascii="仿宋_GB2312" w:hAnsi="仿宋_GB2312" w:eastAsia="仿宋_GB2312" w:cs="仿宋_GB2312"/>
          <w:color w:val="000000"/>
          <w:sz w:val="32"/>
          <w:szCs w:val="32"/>
          <w:shd w:val="clear" w:color="auto" w:fill="FFFFFF"/>
          <w:lang w:eastAsia="zh-CN"/>
        </w:rPr>
        <w:t>与</w:t>
      </w:r>
      <w:r>
        <w:rPr>
          <w:rFonts w:hint="eastAsia" w:ascii="仿宋_GB2312" w:hAnsi="仿宋_GB2312" w:eastAsia="仿宋_GB2312" w:cs="仿宋_GB2312"/>
          <w:color w:val="000000"/>
          <w:sz w:val="32"/>
          <w:szCs w:val="32"/>
          <w:shd w:val="clear" w:color="auto" w:fill="FFFFFF"/>
        </w:rPr>
        <w:t>2023年</w:t>
      </w:r>
      <w:r>
        <w:rPr>
          <w:rFonts w:hint="eastAsia" w:ascii="仿宋_GB2312" w:hAnsi="仿宋_GB2312" w:eastAsia="仿宋_GB2312" w:cs="仿宋_GB2312"/>
          <w:color w:val="000000"/>
          <w:sz w:val="32"/>
          <w:szCs w:val="32"/>
          <w:shd w:val="clear" w:color="auto" w:fill="FFFFFF"/>
          <w:lang w:eastAsia="zh-CN"/>
        </w:rPr>
        <w:t>没有增减变动，主要原因为</w:t>
      </w:r>
      <w:r>
        <w:rPr>
          <w:rFonts w:hint="eastAsia" w:ascii="仿宋_GB2312" w:hAnsi="仿宋_GB2312" w:eastAsia="仿宋_GB2312" w:cs="仿宋_GB2312"/>
          <w:color w:val="000000"/>
          <w:sz w:val="32"/>
          <w:szCs w:val="32"/>
          <w:shd w:val="clear" w:color="auto" w:fill="FFFFFF"/>
          <w:lang w:val="en-US" w:eastAsia="zh-CN"/>
        </w:rPr>
        <w:t>2024年没有安排“三公”</w:t>
      </w:r>
      <w:r>
        <w:rPr>
          <w:rFonts w:hint="eastAsia" w:ascii="仿宋_GB2312" w:hAnsi="仿宋_GB2312" w:eastAsia="仿宋_GB2312" w:cs="仿宋_GB2312"/>
          <w:color w:val="000000"/>
          <w:sz w:val="32"/>
          <w:szCs w:val="32"/>
          <w:shd w:val="clear" w:color="auto" w:fill="FFFFFF"/>
          <w:lang w:eastAsia="zh-CN"/>
        </w:rPr>
        <w:t>经费预算支出。</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sz w:val="32"/>
          <w:szCs w:val="32"/>
          <w:shd w:val="clear" w:color="auto" w:fill="FFFFFF"/>
        </w:rPr>
        <w:t>（三）一般性支出情况：</w:t>
      </w:r>
      <w:r>
        <w:rPr>
          <w:rFonts w:hint="eastAsia" w:ascii="仿宋_GB2312" w:hAnsi="仿宋_GB2312" w:eastAsia="仿宋_GB2312" w:cs="仿宋_GB2312"/>
          <w:color w:val="000000"/>
          <w:kern w:val="2"/>
          <w:sz w:val="32"/>
          <w:szCs w:val="32"/>
          <w:shd w:val="clear" w:color="auto" w:fill="FFFFFF"/>
          <w:lang w:val="en-US" w:eastAsia="zh-CN" w:bidi="ar-SA"/>
        </w:rPr>
        <w:t>2024年本单位会议费预算0万元，拟召开0次会议，人数0人；培训费预算0万元，拟开展0次培训，人数0人；2024年度本部门未计划举办节庆、晚会、论坛、赛事活动，经费预算0万元。</w:t>
      </w:r>
    </w:p>
    <w:p>
      <w:pPr>
        <w:ind w:firstLine="643"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（四）政府采购情况：</w:t>
      </w:r>
      <w:r>
        <w:rPr>
          <w:rFonts w:hint="eastAsia" w:ascii="仿宋_GB2312" w:hAnsi="仿宋_GB2312" w:eastAsia="仿宋_GB2312" w:cs="仿宋_GB2312"/>
          <w:color w:val="000000"/>
          <w:sz w:val="32"/>
          <w:szCs w:val="32"/>
          <w:shd w:val="clear" w:color="auto" w:fill="FFFFFF"/>
        </w:rPr>
        <w:t>2024年本单位政府采购预算总额47万元，其中，货物类采购预算10万元；工程类采购预算0万元；服务类采购预算37万元。</w:t>
      </w:r>
    </w:p>
    <w:p>
      <w:pPr>
        <w:ind w:firstLine="643"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（五）国有资产占用使用及新增资产配置情况：</w:t>
      </w:r>
      <w:r>
        <w:rPr>
          <w:rFonts w:hint="eastAsia" w:ascii="仿宋_GB2312" w:hAnsi="仿宋_GB2312" w:eastAsia="仿宋_GB2312" w:cs="仿宋_GB2312"/>
          <w:color w:val="000000"/>
          <w:sz w:val="32"/>
          <w:szCs w:val="32"/>
          <w:shd w:val="clear" w:color="auto" w:fill="FFFFFF"/>
        </w:rPr>
        <w:t>截至2023年12月底，本单位共有公务用车1辆，其中，机要通信用车0辆，应急保障用车0辆，执法执勤用车0辆，特种专业技术用车0辆，其他按照规定配备的公务用车1辆；单位价值50万元以上设备0台，其中，单位价值100万元以上设备0台。</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2024年拟新增配置公务用车0辆，其中，机要通信用车0辆，应急保障用车0辆，执法执勤用车0辆，特种专业技术用车0辆，其他按照规定配备的公务用车0辆；新增配备单位价值50万元以上设备0台，其中，单位价值100万元以上设备0台。</w:t>
      </w:r>
    </w:p>
    <w:p>
      <w:pPr>
        <w:ind w:firstLine="643"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（六）预算绩效目标说明：</w:t>
      </w:r>
      <w:r>
        <w:rPr>
          <w:rFonts w:hint="eastAsia" w:ascii="仿宋_GB2312" w:hAnsi="仿宋_GB2312" w:eastAsia="仿宋_GB2312" w:cs="仿宋_GB2312"/>
          <w:color w:val="000000"/>
          <w:sz w:val="32"/>
          <w:szCs w:val="32"/>
          <w:shd w:val="clear" w:color="auto" w:fill="FFFFFF"/>
        </w:rPr>
        <w:t>本单位所有支出实行绩效目标管理。纳入2024年单位整体支出绩效目标的金额为1917.4万元，其中，基本支出246.22万元，项目支出1</w:t>
      </w:r>
      <w:r>
        <w:rPr>
          <w:rFonts w:hint="eastAsia" w:ascii="仿宋_GB2312" w:hAnsi="仿宋_GB2312" w:eastAsia="仿宋_GB2312" w:cs="仿宋_GB2312"/>
          <w:color w:val="000000"/>
          <w:sz w:val="32"/>
          <w:szCs w:val="32"/>
          <w:shd w:val="clear" w:color="auto" w:fill="FFFFFF"/>
          <w:lang w:val="en-US" w:eastAsia="zh-CN"/>
        </w:rPr>
        <w:t>6</w:t>
      </w:r>
      <w:r>
        <w:rPr>
          <w:rFonts w:hint="eastAsia" w:ascii="仿宋_GB2312" w:hAnsi="仿宋_GB2312" w:eastAsia="仿宋_GB2312" w:cs="仿宋_GB2312"/>
          <w:color w:val="000000"/>
          <w:sz w:val="32"/>
          <w:szCs w:val="32"/>
          <w:shd w:val="clear" w:color="auto" w:fill="FFFFFF"/>
        </w:rPr>
        <w:t>71.18万元，具体绩效目标详见文尾附表中部门预算公开表21-22表。</w:t>
      </w:r>
    </w:p>
    <w:p>
      <w:pPr>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七、名词解释</w:t>
      </w:r>
    </w:p>
    <w:p>
      <w:pPr>
        <w:ind w:firstLine="643"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1．机关运行经费：</w:t>
      </w:r>
      <w:r>
        <w:rPr>
          <w:rFonts w:hint="eastAsia" w:ascii="仿宋_GB2312" w:hAnsi="仿宋_GB2312" w:eastAsia="仿宋_GB2312" w:cs="仿宋_GB2312"/>
          <w:color w:val="000000"/>
          <w:sz w:val="32"/>
          <w:szCs w:val="32"/>
          <w:shd w:val="clear" w:color="auto" w:fill="FFFFFF"/>
        </w:rPr>
        <w:t>是指各部门的公用经费，包括办公及印刷费、邮电费、差旅费、会议费、福利费、日常维修费、专用资料及一般设备购置费、办公用房水电费、办公用房取暖费、办公用房物业管理费、公务用车运行维护费以及其他费用。</w:t>
      </w:r>
    </w:p>
    <w:p>
      <w:pPr>
        <w:ind w:firstLine="643"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2．“三公”经费：</w:t>
      </w:r>
      <w:r>
        <w:rPr>
          <w:rFonts w:hint="eastAsia" w:ascii="仿宋_GB2312" w:hAnsi="仿宋_GB2312" w:eastAsia="仿宋_GB2312" w:cs="仿宋_GB2312"/>
          <w:color w:val="000000"/>
          <w:sz w:val="32"/>
          <w:szCs w:val="32"/>
          <w:shd w:val="clear" w:color="auto" w:fill="FFFFFF"/>
        </w:rPr>
        <w:t>纳入省（市/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支出。</w:t>
      </w:r>
    </w:p>
    <w:p>
      <w:pPr>
        <w:pStyle w:val="6"/>
        <w:widowControl/>
        <w:spacing w:beforeAutospacing="0" w:afterAutospacing="0" w:line="22" w:lineRule="atLeast"/>
        <w:jc w:val="center"/>
        <w:textAlignment w:val="center"/>
        <w:rPr>
          <w:rFonts w:ascii="方正小标宋简体" w:hAnsi="Times New Roman" w:eastAsia="方正小标宋简体"/>
          <w:b/>
          <w:bCs/>
          <w:sz w:val="36"/>
          <w:szCs w:val="36"/>
        </w:rPr>
      </w:pPr>
    </w:p>
    <w:p>
      <w:pPr>
        <w:pStyle w:val="6"/>
        <w:widowControl/>
        <w:spacing w:beforeAutospacing="0" w:afterAutospacing="0" w:line="22" w:lineRule="atLeast"/>
        <w:jc w:val="center"/>
        <w:textAlignment w:val="center"/>
        <w:rPr>
          <w:rFonts w:ascii="方正小标宋简体" w:hAnsi="Times New Roman" w:eastAsia="方正小标宋简体"/>
          <w:b/>
          <w:bCs/>
          <w:sz w:val="36"/>
          <w:szCs w:val="36"/>
        </w:rPr>
      </w:pPr>
    </w:p>
    <w:p>
      <w:pPr>
        <w:pStyle w:val="6"/>
        <w:widowControl/>
        <w:spacing w:beforeAutospacing="0" w:afterAutospacing="0" w:line="22" w:lineRule="atLeast"/>
        <w:jc w:val="center"/>
        <w:textAlignment w:val="center"/>
        <w:rPr>
          <w:rFonts w:ascii="方正小标宋简体" w:hAnsi="Times New Roman" w:eastAsia="方正小标宋简体"/>
          <w:b/>
          <w:bCs/>
          <w:sz w:val="36"/>
          <w:szCs w:val="36"/>
        </w:rPr>
      </w:pPr>
    </w:p>
    <w:p>
      <w:pPr>
        <w:pStyle w:val="6"/>
        <w:widowControl/>
        <w:spacing w:beforeAutospacing="0" w:afterAutospacing="0" w:line="22" w:lineRule="atLeast"/>
        <w:jc w:val="center"/>
        <w:textAlignment w:val="center"/>
        <w:rPr>
          <w:rFonts w:ascii="方正小标宋简体" w:hAnsi="Times New Roman" w:eastAsia="方正小标宋简体"/>
          <w:b/>
          <w:bCs/>
          <w:sz w:val="36"/>
          <w:szCs w:val="36"/>
        </w:rPr>
      </w:pPr>
      <w:bookmarkStart w:id="1" w:name="_GoBack"/>
      <w:bookmarkEnd w:id="1"/>
      <w:r>
        <w:rPr>
          <w:rFonts w:hint="eastAsia" w:ascii="方正小标宋简体" w:hAnsi="Times New Roman" w:eastAsia="方正小标宋简体"/>
          <w:b/>
          <w:bCs/>
          <w:sz w:val="36"/>
          <w:szCs w:val="36"/>
        </w:rPr>
        <w:t>第二部分  2024年部门预算公开表格</w:t>
      </w:r>
    </w:p>
    <w:p>
      <w:pPr>
        <w:ind w:firstLine="640" w:firstLineChars="200"/>
        <w:rPr>
          <w:rFonts w:ascii="仿宋_GB2312" w:hAnsi="仿宋_GB2312" w:eastAsia="仿宋_GB2312" w:cs="仿宋_GB2312"/>
          <w:color w:val="000000"/>
          <w:sz w:val="32"/>
          <w:szCs w:val="32"/>
          <w:shd w:val="clear" w:color="auto" w:fill="FFFFFF"/>
        </w:rPr>
      </w:pP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注：以上部门预算公开报表中，空表表示本单位无相关收支情况。</w:t>
      </w:r>
    </w:p>
    <w:p>
      <w:pPr>
        <w:ind w:firstLine="640" w:firstLineChars="200"/>
        <w:rPr>
          <w:rFonts w:ascii="仿宋_GB2312" w:hAnsi="仿宋_GB2312" w:eastAsia="仿宋_GB2312" w:cs="仿宋_GB2312"/>
          <w:color w:val="000000"/>
          <w:sz w:val="32"/>
          <w:szCs w:val="32"/>
          <w:shd w:val="clear" w:color="auto" w:fill="FFFFFF"/>
        </w:rPr>
      </w:pPr>
    </w:p>
    <w:p>
      <w:pPr>
        <w:ind w:firstLine="643"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附件：君山区医疗保障事务中心2024年部门预算公开表</w:t>
      </w:r>
    </w:p>
    <w:p>
      <w:pPr>
        <w:ind w:firstLine="640" w:firstLineChars="200"/>
        <w:rPr>
          <w:rFonts w:ascii="仿宋_GB2312" w:hAnsi="仿宋_GB2312" w:eastAsia="仿宋_GB2312" w:cs="仿宋_GB2312"/>
          <w:color w:val="000000"/>
          <w:sz w:val="32"/>
          <w:szCs w:val="32"/>
          <w:shd w:val="clear" w:color="auto"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仿宋_GB2312"/>
    <w:panose1 w:val="02010601030101010101"/>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50E854"/>
    <w:multiLevelType w:val="singleLevel"/>
    <w:tmpl w:val="A250E85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jk0MzkxYTllNGUzYWMwZmMyNjFiNTViYzNiYzdlYTAifQ=="/>
  </w:docVars>
  <w:rsids>
    <w:rsidRoot w:val="637274E6"/>
    <w:rsid w:val="000A4EB2"/>
    <w:rsid w:val="000A5BFE"/>
    <w:rsid w:val="00177357"/>
    <w:rsid w:val="00205FBB"/>
    <w:rsid w:val="00293A7D"/>
    <w:rsid w:val="008A23B8"/>
    <w:rsid w:val="009B623D"/>
    <w:rsid w:val="01EC3E90"/>
    <w:rsid w:val="02140C7A"/>
    <w:rsid w:val="046523F8"/>
    <w:rsid w:val="088363E7"/>
    <w:rsid w:val="0AD8381E"/>
    <w:rsid w:val="0B172D74"/>
    <w:rsid w:val="0B5218A1"/>
    <w:rsid w:val="0B653E82"/>
    <w:rsid w:val="0E042561"/>
    <w:rsid w:val="0F2A3A2C"/>
    <w:rsid w:val="10797237"/>
    <w:rsid w:val="16042156"/>
    <w:rsid w:val="16247C45"/>
    <w:rsid w:val="167C1082"/>
    <w:rsid w:val="192632E6"/>
    <w:rsid w:val="1B6F1962"/>
    <w:rsid w:val="1C744CBF"/>
    <w:rsid w:val="1C914169"/>
    <w:rsid w:val="1F572E39"/>
    <w:rsid w:val="1F8154A2"/>
    <w:rsid w:val="20034AD4"/>
    <w:rsid w:val="22767EB0"/>
    <w:rsid w:val="22861ED8"/>
    <w:rsid w:val="27562CA6"/>
    <w:rsid w:val="286F1B1C"/>
    <w:rsid w:val="28D728F5"/>
    <w:rsid w:val="2A5727A7"/>
    <w:rsid w:val="2B3247EE"/>
    <w:rsid w:val="2DC518B5"/>
    <w:rsid w:val="2E283DF2"/>
    <w:rsid w:val="2E9372BE"/>
    <w:rsid w:val="30F54535"/>
    <w:rsid w:val="328F1D91"/>
    <w:rsid w:val="36214EDF"/>
    <w:rsid w:val="395E7E49"/>
    <w:rsid w:val="398C704B"/>
    <w:rsid w:val="3A486D41"/>
    <w:rsid w:val="3CB10683"/>
    <w:rsid w:val="3E4B1963"/>
    <w:rsid w:val="40731651"/>
    <w:rsid w:val="40BA4B7E"/>
    <w:rsid w:val="42E3660E"/>
    <w:rsid w:val="4601059C"/>
    <w:rsid w:val="4602087F"/>
    <w:rsid w:val="4748485A"/>
    <w:rsid w:val="4AFC64BF"/>
    <w:rsid w:val="4BBE358A"/>
    <w:rsid w:val="4E514D65"/>
    <w:rsid w:val="4EE728E7"/>
    <w:rsid w:val="4F0307B2"/>
    <w:rsid w:val="4F302902"/>
    <w:rsid w:val="52077AEA"/>
    <w:rsid w:val="55E76771"/>
    <w:rsid w:val="58AA6296"/>
    <w:rsid w:val="58AF2EC0"/>
    <w:rsid w:val="5A13112F"/>
    <w:rsid w:val="5BC30933"/>
    <w:rsid w:val="5DC12353"/>
    <w:rsid w:val="60B42209"/>
    <w:rsid w:val="637274E6"/>
    <w:rsid w:val="63E65795"/>
    <w:rsid w:val="65B57FA7"/>
    <w:rsid w:val="675A13CF"/>
    <w:rsid w:val="682C3048"/>
    <w:rsid w:val="6B1B73BC"/>
    <w:rsid w:val="6F4B168B"/>
    <w:rsid w:val="70F118E0"/>
    <w:rsid w:val="71704C61"/>
    <w:rsid w:val="719F6C19"/>
    <w:rsid w:val="72294DDD"/>
    <w:rsid w:val="78CC0C1A"/>
    <w:rsid w:val="7AE949AB"/>
    <w:rsid w:val="7D266D66"/>
    <w:rsid w:val="7E7E59C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Balloon Text"/>
    <w:basedOn w:val="1"/>
    <w:link w:val="12"/>
    <w:uiPriority w:val="0"/>
    <w:rPr>
      <w:sz w:val="18"/>
      <w:szCs w:val="18"/>
    </w:rPr>
  </w:style>
  <w:style w:type="paragraph" w:styleId="4">
    <w:name w:val="footer"/>
    <w:basedOn w:val="1"/>
    <w:link w:val="11"/>
    <w:uiPriority w:val="0"/>
    <w:pPr>
      <w:tabs>
        <w:tab w:val="center" w:pos="4153"/>
        <w:tab w:val="right" w:pos="8306"/>
      </w:tabs>
      <w:snapToGrid w:val="0"/>
      <w:jc w:val="left"/>
    </w:pPr>
    <w:rPr>
      <w:sz w:val="18"/>
      <w:szCs w:val="18"/>
    </w:rPr>
  </w:style>
  <w:style w:type="paragraph" w:styleId="5">
    <w:name w:val="header"/>
    <w:basedOn w:val="1"/>
    <w:link w:val="10"/>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9">
    <w:name w:val="Hyperlink"/>
    <w:basedOn w:val="8"/>
    <w:qFormat/>
    <w:uiPriority w:val="0"/>
    <w:rPr>
      <w:color w:val="0000FF"/>
      <w:u w:val="single"/>
    </w:rPr>
  </w:style>
  <w:style w:type="character" w:customStyle="1" w:styleId="10">
    <w:name w:val="页眉 Char"/>
    <w:basedOn w:val="8"/>
    <w:link w:val="5"/>
    <w:uiPriority w:val="0"/>
    <w:rPr>
      <w:kern w:val="2"/>
      <w:sz w:val="18"/>
      <w:szCs w:val="18"/>
    </w:rPr>
  </w:style>
  <w:style w:type="character" w:customStyle="1" w:styleId="11">
    <w:name w:val="页脚 Char"/>
    <w:basedOn w:val="8"/>
    <w:link w:val="4"/>
    <w:uiPriority w:val="0"/>
    <w:rPr>
      <w:kern w:val="2"/>
      <w:sz w:val="18"/>
      <w:szCs w:val="18"/>
    </w:rPr>
  </w:style>
  <w:style w:type="character" w:customStyle="1" w:styleId="12">
    <w:name w:val="批注框文本 Char"/>
    <w:basedOn w:val="8"/>
    <w:link w:val="3"/>
    <w:uiPriority w:val="0"/>
    <w:rPr>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chart" Target="charts/chart2.xml"/><Relationship Id="rId4" Type="http://schemas.openxmlformats.org/officeDocument/2006/relationships/chart" Target="charts/chart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istrator\Desktop\Book1.xlsx"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C:\Users\Administrator\Desktop\&#25910;&#20837;&#39044;&#31639;&#2227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800" b="1" i="0" u="none" strike="noStrike" kern="1200" baseline="0">
                <a:solidFill>
                  <a:schemeClr val="tx1"/>
                </a:solidFill>
                <a:latin typeface="+mn-lt"/>
                <a:ea typeface="+mn-ea"/>
                <a:cs typeface="+mn-cs"/>
              </a:defRPr>
            </a:pPr>
            <a:r>
              <a:t>收入预算图</a:t>
            </a:r>
          </a:p>
        </c:rich>
      </c:tx>
      <c:layout/>
      <c:overlay val="0"/>
    </c:title>
    <c:autoTitleDeleted val="0"/>
    <c:plotArea>
      <c:layout/>
      <c:pieChart>
        <c:varyColors val="1"/>
        <c:ser>
          <c:idx val="0"/>
          <c:order val="0"/>
          <c:explosion val="0"/>
          <c:dPt>
            <c:idx val="0"/>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[Book1.xlsx]Sheet1!$A$6</c:f>
              <c:strCache>
                <c:ptCount val="1"/>
                <c:pt idx="0">
                  <c:v>一般公共预算拨款收入</c:v>
                </c:pt>
              </c:strCache>
            </c:strRef>
          </c:cat>
          <c:val>
            <c:numRef>
              <c:f>[Book1.xlsx]Sheet1!$A$7</c:f>
              <c:numCache>
                <c:formatCode>0%</c:formatCode>
                <c:ptCount val="1"/>
                <c:pt idx="0">
                  <c:v>1</c:v>
                </c:pt>
              </c:numCache>
            </c:numRef>
          </c:val>
        </c:ser>
        <c:dLbls>
          <c:showLegendKey val="0"/>
          <c:showVal val="1"/>
          <c:showCatName val="0"/>
          <c:showSerName val="0"/>
          <c:showPercent val="0"/>
          <c:showBubbleSize val="0"/>
          <c:showLeaderLines val="1"/>
        </c:dLbls>
        <c:firstSliceAng val="0"/>
      </c:pieChart>
    </c:plotArea>
    <c:legend>
      <c:legendPos val="r"/>
      <c:layout>
        <c:manualLayout>
          <c:xMode val="edge"/>
          <c:yMode val="edge"/>
          <c:x val="0.700737532808399"/>
          <c:y val="0.0547878390201225"/>
          <c:w val="0.236068022747157"/>
          <c:h val="0.307090988626422"/>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400" b="1" i="0" u="none" strike="noStrike" kern="1200" baseline="0">
                <a:solidFill>
                  <a:schemeClr val="dk1">
                    <a:lumMod val="75000"/>
                    <a:lumOff val="25000"/>
                  </a:schemeClr>
                </a:solidFill>
                <a:latin typeface="+mn-lt"/>
                <a:ea typeface="+mn-ea"/>
                <a:cs typeface="+mn-cs"/>
              </a:defRPr>
            </a:pPr>
            <a:r>
              <a:t>支出预算图</a:t>
            </a:r>
          </a:p>
        </c:rich>
      </c:tx>
      <c:layout/>
      <c:overlay val="0"/>
      <c:spPr>
        <a:noFill/>
        <a:ln>
          <a:noFill/>
        </a:ln>
        <a:effectLst/>
      </c:spPr>
    </c:title>
    <c:autoTitleDeleted val="0"/>
    <c:view3D>
      <c:rotX val="30"/>
      <c:rotY val="0"/>
      <c:depthPercent val="100"/>
      <c:rAngAx val="0"/>
    </c:view3D>
    <c:floor>
      <c:thickness val="0"/>
      <c:spPr>
        <a:noFill/>
        <a:effectLst/>
      </c:spPr>
    </c:floor>
    <c:sideWall>
      <c:thickness val="0"/>
      <c:spPr>
        <a:noFill/>
        <a:effectLst/>
      </c:spPr>
    </c:sideWall>
    <c:backWall>
      <c:thickness val="0"/>
      <c:spPr>
        <a:noFill/>
        <a:effectLst/>
      </c:spPr>
    </c:backWall>
    <c:plotArea>
      <c:layout>
        <c:manualLayout>
          <c:layoutTarget val="inner"/>
          <c:xMode val="edge"/>
          <c:yMode val="edge"/>
          <c:x val="0.115753557121149"/>
          <c:y val="0.365522640710961"/>
          <c:w val="0.826511949164249"/>
          <c:h val="0.612797291578502"/>
        </c:manualLayout>
      </c:layout>
      <c:pie3DChart>
        <c:varyColors val="1"/>
        <c:ser>
          <c:idx val="0"/>
          <c:order val="0"/>
          <c:spPr>
            <a:scene3d>
              <a:camera prst="orthographicFront"/>
              <a:lightRig rig="threePt" dir="t"/>
            </a:scene3d>
            <a:sp3d contourW="9525"/>
          </c:spPr>
          <c:explosion val="0"/>
          <c:dPt>
            <c:idx val="0"/>
            <c:bubble3D val="0"/>
            <c:spPr>
              <a:gradFill>
                <a:gsLst>
                  <a:gs pos="100000">
                    <a:schemeClr val="accent1"/>
                  </a:gs>
                  <a:gs pos="0">
                    <a:schemeClr val="accent1">
                      <a:hueOff val="-1670000"/>
                    </a:schemeClr>
                  </a:gs>
                </a:gsLst>
                <a:lin ang="5400000" scaled="0"/>
              </a:gradFill>
              <a:ln>
                <a:gradFill>
                  <a:gsLst>
                    <a:gs pos="100000">
                      <a:schemeClr val="accent1">
                        <a:lumMod val="75000"/>
                      </a:schemeClr>
                    </a:gs>
                    <a:gs pos="0">
                      <a:schemeClr val="accent1">
                        <a:lumMod val="75000"/>
                        <a:hueOff val="-1670000"/>
                      </a:schemeClr>
                    </a:gs>
                  </a:gsLst>
                  <a:lin ang="4620000" scaled="0"/>
                </a:gradFill>
              </a:ln>
              <a:effectLst/>
            </c:spPr>
          </c:dPt>
          <c:dPt>
            <c:idx val="1"/>
            <c:bubble3D val="0"/>
            <c:spPr>
              <a:gradFill>
                <a:gsLst>
                  <a:gs pos="100000">
                    <a:schemeClr val="accent2"/>
                  </a:gs>
                  <a:gs pos="0">
                    <a:schemeClr val="accent2">
                      <a:hueOff val="-1670000"/>
                    </a:schemeClr>
                  </a:gs>
                </a:gsLst>
                <a:lin ang="5400000" scaled="0"/>
              </a:gradFill>
              <a:ln>
                <a:gradFill>
                  <a:gsLst>
                    <a:gs pos="100000">
                      <a:schemeClr val="accent2">
                        <a:lumMod val="75000"/>
                      </a:schemeClr>
                    </a:gs>
                    <a:gs pos="0">
                      <a:schemeClr val="accent2">
                        <a:lumMod val="75000"/>
                        <a:hueOff val="-1670000"/>
                      </a:schemeClr>
                    </a:gs>
                  </a:gsLst>
                  <a:lin ang="4620000" scaled="0"/>
                </a:gradFill>
              </a:ln>
              <a:effectLst/>
            </c:spPr>
          </c:dPt>
          <c:dPt>
            <c:idx val="2"/>
            <c:bubble3D val="0"/>
            <c:spPr>
              <a:gradFill>
                <a:gsLst>
                  <a:gs pos="100000">
                    <a:schemeClr val="accent3"/>
                  </a:gs>
                  <a:gs pos="0">
                    <a:schemeClr val="accent3">
                      <a:hueOff val="-1670000"/>
                    </a:schemeClr>
                  </a:gs>
                </a:gsLst>
                <a:lin ang="5400000" scaled="0"/>
              </a:gradFill>
              <a:ln>
                <a:gradFill>
                  <a:gsLst>
                    <a:gs pos="100000">
                      <a:schemeClr val="accent3">
                        <a:lumMod val="75000"/>
                      </a:schemeClr>
                    </a:gs>
                    <a:gs pos="0">
                      <a:schemeClr val="accent3">
                        <a:lumMod val="75000"/>
                        <a:hueOff val="-1670000"/>
                      </a:schemeClr>
                    </a:gs>
                  </a:gsLst>
                  <a:lin ang="4620000" scaled="0"/>
                </a:gradFill>
              </a:ln>
              <a:effectLst/>
            </c:spPr>
          </c:dPt>
          <c:dPt>
            <c:idx val="3"/>
            <c:bubble3D val="0"/>
            <c:spPr>
              <a:gradFill>
                <a:gsLst>
                  <a:gs pos="100000">
                    <a:schemeClr val="accent4"/>
                  </a:gs>
                  <a:gs pos="0">
                    <a:schemeClr val="accent4">
                      <a:hueOff val="-1670000"/>
                    </a:schemeClr>
                  </a:gs>
                </a:gsLst>
                <a:lin ang="5400000" scaled="0"/>
              </a:gradFill>
              <a:ln>
                <a:gradFill>
                  <a:gsLst>
                    <a:gs pos="100000">
                      <a:schemeClr val="accent4">
                        <a:lumMod val="75000"/>
                      </a:schemeClr>
                    </a:gs>
                    <a:gs pos="0">
                      <a:schemeClr val="accent4">
                        <a:lumMod val="75000"/>
                        <a:hueOff val="-1670000"/>
                      </a:schemeClr>
                    </a:gs>
                  </a:gsLst>
                  <a:lin ang="4620000" scaled="0"/>
                </a:gradFill>
              </a:ln>
              <a:effectLst/>
            </c:spPr>
          </c:dPt>
          <c:dPt>
            <c:idx val="4"/>
            <c:bubble3D val="0"/>
            <c:spPr>
              <a:gradFill>
                <a:gsLst>
                  <a:gs pos="100000">
                    <a:schemeClr val="accent5"/>
                  </a:gs>
                  <a:gs pos="0">
                    <a:schemeClr val="accent5">
                      <a:hueOff val="-1670000"/>
                    </a:schemeClr>
                  </a:gs>
                </a:gsLst>
                <a:lin ang="5400000" scaled="0"/>
              </a:gradFill>
              <a:ln>
                <a:gradFill>
                  <a:gsLst>
                    <a:gs pos="100000">
                      <a:schemeClr val="accent5">
                        <a:lumMod val="75000"/>
                      </a:schemeClr>
                    </a:gs>
                    <a:gs pos="0">
                      <a:schemeClr val="accent5">
                        <a:lumMod val="75000"/>
                        <a:hueOff val="-1670000"/>
                      </a:schemeClr>
                    </a:gs>
                  </a:gsLst>
                  <a:lin ang="4620000" scaled="0"/>
                </a:gradFill>
              </a:ln>
              <a:effectLst/>
              <a:scene3d>
                <a:camera prst="orthographicFront"/>
                <a:lightRig rig="threePt" dir="t"/>
              </a:scene3d>
              <a:sp3d contourW="9525"/>
            </c:spPr>
          </c:dPt>
          <c:dPt>
            <c:idx val="5"/>
            <c:bubble3D val="0"/>
            <c:spPr>
              <a:gradFill>
                <a:gsLst>
                  <a:gs pos="100000">
                    <a:schemeClr val="accent6"/>
                  </a:gs>
                  <a:gs pos="0">
                    <a:schemeClr val="accent6">
                      <a:hueOff val="-1670000"/>
                    </a:schemeClr>
                  </a:gs>
                </a:gsLst>
                <a:lin ang="5400000" scaled="0"/>
              </a:gradFill>
              <a:ln>
                <a:gradFill>
                  <a:gsLst>
                    <a:gs pos="100000">
                      <a:schemeClr val="accent6">
                        <a:lumMod val="75000"/>
                      </a:schemeClr>
                    </a:gs>
                    <a:gs pos="0">
                      <a:schemeClr val="accent6">
                        <a:lumMod val="75000"/>
                        <a:hueOff val="-1670000"/>
                      </a:schemeClr>
                    </a:gs>
                  </a:gsLst>
                  <a:lin ang="4620000" scaled="0"/>
                </a:gradFill>
              </a:ln>
              <a:effectLst/>
              <a:scene3d>
                <a:camera prst="orthographicFront"/>
                <a:lightRig rig="threePt" dir="t"/>
              </a:scene3d>
              <a:sp3d contourW="9525"/>
            </c:spPr>
          </c:dPt>
          <c:dLbls>
            <c:dLbl>
              <c:idx val="0"/>
              <c:layout>
                <c:manualLayout>
                  <c:x val="-0.162659390727969"/>
                  <c:y val="0.00565493896442919"/>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1"/>
              <c:layout>
                <c:manualLayout>
                  <c:x val="0.192287838975576"/>
                  <c:y val="0.0165572784738961"/>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2"/>
              <c:layout>
                <c:manualLayout>
                  <c:x val="-0.107291854650271"/>
                  <c:y val="-0.116992867790304"/>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3"/>
              <c:layout>
                <c:manualLayout>
                  <c:x val="0.154291850393721"/>
                  <c:y val="-0.0429888690641973"/>
                </c:manualLayout>
              </c:layout>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numFmt formatCode="0.00%" sourceLinked="0"/>
            <c:spPr>
              <a:solidFill>
                <a:sysClr val="window" lastClr="FFFFFF"/>
              </a:solidFill>
              <a:ln>
                <a:solidFill>
                  <a:sysClr val="windowText" lastClr="000000">
                    <a:lumMod val="65000"/>
                    <a:lumOff val="35000"/>
                  </a:sysClr>
                </a:solid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outEnd"/>
            <c:showLegendKey val="0"/>
            <c:showVal val="0"/>
            <c:showCatName val="1"/>
            <c:showSerName val="0"/>
            <c:showPercent val="1"/>
            <c:showBubbleSize val="0"/>
            <c:separator> </c:separator>
            <c:showLeaderLines val="1"/>
            <c:extLst>
              <c:ext xmlns:c15="http://schemas.microsoft.com/office/drawing/2012/chart" uri="{CE6537A1-D6FC-4f65-9D91-7224C49458BB}">
                <c15:spPr xmlns:c15="http://schemas.microsoft.com/office/drawing/2012/chart">
                  <a:prstGeom prst="roundRect">
                    <a:avLst/>
                  </a:prstGeom>
                  <a:noFill/>
                  <a:ln>
                    <a:noFill/>
                  </a:ln>
                </c15:spPr>
                <c15:layout/>
                <c15:showLeaderLines val="1"/>
                <c15:leaderLines>
                  <c:spPr>
                    <a:ln w="9525">
                      <a:solidFill>
                        <a:schemeClr val="dk1">
                          <a:lumMod val="35000"/>
                          <a:lumOff val="65000"/>
                        </a:schemeClr>
                      </a:solidFill>
                    </a:ln>
                    <a:effectLst/>
                  </c:spPr>
                </c15:leaderLines>
              </c:ext>
            </c:extLst>
          </c:dLbls>
          <c:cat>
            <c:strRef>
              <c:f>[收入预算图.xlsx]Sheet1!$B$2:$B$7</c:f>
              <c:strCache>
                <c:ptCount val="6"/>
                <c:pt idx="0">
                  <c:v>社会保障和就业支出</c:v>
                </c:pt>
                <c:pt idx="1">
                  <c:v>卫生健康支出</c:v>
                </c:pt>
                <c:pt idx="3">
                  <c:v>住房保障支出</c:v>
                </c:pt>
              </c:strCache>
            </c:strRef>
          </c:cat>
          <c:val>
            <c:numRef>
              <c:f>[收入预算图.xlsx]Sheet1!$C$2:$C$7</c:f>
              <c:numCache>
                <c:formatCode>0.00%</c:formatCode>
                <c:ptCount val="6"/>
                <c:pt idx="0">
                  <c:v>0.0141</c:v>
                </c:pt>
                <c:pt idx="1">
                  <c:v>0.9756</c:v>
                </c:pt>
                <c:pt idx="3">
                  <c:v>0.0103</c:v>
                </c:pt>
              </c:numCache>
            </c:numRef>
          </c:val>
        </c:ser>
        <c:dLbls>
          <c:showLegendKey val="0"/>
          <c:showVal val="0"/>
          <c:showCatName val="1"/>
          <c:showSerName val="0"/>
          <c:showPercent val="1"/>
          <c:showBubbleSize val="0"/>
        </c:dLbls>
      </c:pie3DChart>
      <c:spPr>
        <a:noFill/>
        <a:ln>
          <a:noFill/>
        </a:ln>
        <a:effectLst/>
      </c:spPr>
    </c:plotArea>
    <c:legend>
      <c:legendPos val="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dk1">
                  <a:lumMod val="65000"/>
                  <a:lumOff val="35000"/>
                </a:schemeClr>
              </a:solidFill>
              <a:latin typeface="+mn-lt"/>
              <a:ea typeface="+mn-ea"/>
              <a:cs typeface="+mn-cs"/>
            </a:defRPr>
          </a:pPr>
        </a:p>
      </c:txPr>
    </c:legend>
    <c:plotVisOnly val="1"/>
    <c:dispBlanksAs val="gap"/>
    <c:showDLblsOverMax val="0"/>
  </c:chart>
  <c:spPr>
    <a:solidFill>
      <a:schemeClr val="lt1">
        <a:lumMod val="96000"/>
      </a:schemeClr>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10097">
  <cs:axisTitle>
    <cs:lnRef idx="0"/>
    <cs:fillRef idx="0"/>
    <cs:effectRef idx="0"/>
    <cs:fontRef idx="minor">
      <a:schemeClr val="dk1">
        <a:lumMod val="65000"/>
        <a:lumOff val="35000"/>
      </a:schemeClr>
    </cs:fontRef>
    <cs:defRPr sz="1000" kern="1200"/>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lt1">
          <a:lumMod val="96000"/>
        </a:schemeClr>
      </a:solidFill>
      <a:ln w="9525" cap="flat" cmpd="sng" algn="ctr">
        <a:solidFill>
          <a:schemeClr val="tx1">
            <a:lumMod val="15000"/>
            <a:lumOff val="85000"/>
          </a:schemeClr>
        </a:solidFill>
        <a:round/>
      </a:ln>
    </cs:spPr>
    <cs:defRPr sz="1000" kern="1200"/>
  </cs:chartArea>
  <cs:dataLabel>
    <cs:lnRef idx="0"/>
    <cs:fillRef idx="0"/>
    <cs:effectRef idx="0"/>
    <cs:fontRef idx="minor">
      <a:schemeClr val="dk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styleClr val="auto"/>
    </cs:lnRef>
    <cs:fillRef idx="0">
      <cs:styleClr val="auto"/>
    </cs:fillRef>
    <cs:effectRef idx="0"/>
    <cs:fontRef idx="minor">
      <a:schemeClr val="dk1"/>
    </cs:fontRef>
    <cs:spPr>
      <a:gradFill>
        <a:gsLst>
          <a:gs pos="100000">
            <a:schemeClr val="phClr"/>
          </a:gs>
          <a:gs pos="0">
            <a:schemeClr val="phClr">
              <a:hueOff val="-1670000"/>
            </a:schemeClr>
          </a:gs>
        </a:gsLst>
        <a:lin ang="5400000" scaled="0"/>
      </a:gradFill>
      <a:ln>
        <a:gradFill>
          <a:gsLst>
            <a:gs pos="100000">
              <a:schemeClr val="phClr">
                <a:lumMod val="75000"/>
              </a:schemeClr>
            </a:gs>
            <a:gs pos="0">
              <a:schemeClr val="phClr">
                <a:lumMod val="75000"/>
                <a:hueOff val="-1670000"/>
              </a:schemeClr>
            </a:gs>
          </a:gsLst>
          <a:lin ang="4620000" scaled="0"/>
        </a:gradFill>
      </a:ln>
      <a:effectLst/>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dk1">
        <a:lumMod val="65000"/>
        <a:lumOff val="35000"/>
      </a:schemeClr>
    </cs:fontRef>
    <cs:spPr>
      <a:noFill/>
      <a:ln w="9525" cap="flat" cmpd="sng" algn="ctr">
        <a:solidFill>
          <a:schemeClr val="dk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a:solidFill>
          <a:schemeClr val="dk1">
            <a:lumMod val="35000"/>
            <a:lumOff val="65000"/>
          </a:schemeClr>
        </a:solidFill>
      </a:ln>
    </cs:spPr>
  </cs:dropLine>
  <cs:errorBar>
    <cs:lnRef idx="0"/>
    <cs:fillRef idx="0"/>
    <cs:effectRef idx="0"/>
    <cs:fontRef idx="minor">
      <a:schemeClr val="tx1"/>
    </cs:fontRef>
    <cs:spPr>
      <a:ln w="9525" cap="flat" cmpd="sng" algn="ctr">
        <a:solidFill>
          <a:schemeClr val="dk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lt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a:solidFill>
          <a:schemeClr val="dk1">
            <a:lumMod val="75000"/>
            <a:lumOff val="25000"/>
          </a:schemeClr>
        </a:solidFill>
      </a:ln>
    </cs:spPr>
  </cs:hiLoLine>
  <cs:leaderLine>
    <cs:lnRef idx="0"/>
    <cs:fillRef idx="0"/>
    <cs:effectRef idx="0"/>
    <cs:fontRef idx="minor">
      <a:schemeClr val="tx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tx1"/>
    </cs:fontRef>
    <cs:spPr>
      <a:ln w="9525">
        <a:solidFill>
          <a:schemeClr val="dk1">
            <a:lumMod val="35000"/>
            <a:lumOff val="65000"/>
          </a:schemeClr>
        </a:solidFill>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11</Pages>
  <Words>3494</Words>
  <Characters>3754</Characters>
  <Lines>27</Lines>
  <Paragraphs>7</Paragraphs>
  <TotalTime>9</TotalTime>
  <ScaleCrop>false</ScaleCrop>
  <LinksUpToDate>false</LinksUpToDate>
  <CharactersWithSpaces>3789</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2024-05-22T14:39:00Z</dcterms:created>
  <dc:creator>dell</dc:creator>
  <cp:lastModifiedBy>Administrator</cp:lastModifiedBy>
  <dcterms:modified xsi:type="dcterms:W3CDTF">2024-06-20T09:40:40Z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4B589B6B695C4DC7952F61D9C4C27BB6_13</vt:lpwstr>
  </property>
</Properties>
</file>