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pacing w:val="-17"/>
          <w:sz w:val="44"/>
          <w:szCs w:val="44"/>
          <w:lang w:val="en-US" w:eastAsia="zh-CN"/>
        </w:rPr>
      </w:pPr>
      <w:r>
        <w:rPr>
          <w:rFonts w:hint="eastAsia" w:ascii="方正小标宋简体" w:hAnsi="方正小标宋简体" w:eastAsia="方正小标宋简体" w:cs="方正小标宋简体"/>
          <w:b/>
          <w:bCs/>
          <w:spacing w:val="-11"/>
          <w:sz w:val="44"/>
          <w:szCs w:val="44"/>
          <w:lang w:val="en-US" w:eastAsia="zh-CN"/>
        </w:rPr>
        <w:t>中共岳阳</w:t>
      </w:r>
      <w:r>
        <w:rPr>
          <w:rFonts w:hint="eastAsia" w:ascii="方正小标宋简体" w:hAnsi="方正小标宋简体" w:eastAsia="方正小标宋简体" w:cs="方正小标宋简体"/>
          <w:b/>
          <w:bCs/>
          <w:spacing w:val="-11"/>
          <w:sz w:val="44"/>
          <w:szCs w:val="44"/>
        </w:rPr>
        <w:t>市</w:t>
      </w:r>
      <w:r>
        <w:rPr>
          <w:rFonts w:hint="eastAsia" w:ascii="方正小标宋简体" w:hAnsi="方正小标宋简体" w:eastAsia="方正小标宋简体" w:cs="方正小标宋简体"/>
          <w:b/>
          <w:bCs/>
          <w:spacing w:val="-11"/>
          <w:sz w:val="44"/>
          <w:szCs w:val="44"/>
          <w:lang w:val="en-US" w:eastAsia="zh-CN"/>
        </w:rPr>
        <w:t>君山区委巡察工作领导小组办公室</w:t>
      </w:r>
    </w:p>
    <w:p>
      <w:pPr>
        <w:spacing w:line="570" w:lineRule="atLeast"/>
        <w:jc w:val="center"/>
        <w:rPr>
          <w:rFonts w:hint="eastAsia" w:ascii="黑体" w:hAnsi="黑体" w:eastAsia="黑体" w:cs="黑体"/>
          <w:b/>
          <w:bCs/>
          <w:sz w:val="48"/>
          <w:szCs w:val="48"/>
        </w:rPr>
      </w:pPr>
      <w:r>
        <w:rPr>
          <w:rFonts w:hint="eastAsia" w:ascii="方正小标宋简体" w:hAnsi="方正小标宋简体" w:eastAsia="方正小标宋简体" w:cs="方正小标宋简体"/>
          <w:b/>
          <w:bCs/>
          <w:sz w:val="44"/>
          <w:szCs w:val="44"/>
        </w:rPr>
        <w:t>2024年部门预算公开</w:t>
      </w:r>
    </w:p>
    <w:p>
      <w:pPr>
        <w:rPr>
          <w:rFonts w:hint="eastAsia"/>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r>
        <w:rPr>
          <w:rFonts w:hint="eastAsia" w:ascii="Times New Roman" w:hAnsi="Times New Roman" w:eastAsia="黑体" w:cs="Times New Roman"/>
          <w:b/>
          <w:kern w:val="0"/>
          <w:sz w:val="36"/>
          <w:szCs w:val="36"/>
        </w:rPr>
        <w:t>目 录</w:t>
      </w:r>
    </w:p>
    <w:p>
      <w:pPr>
        <w:widowControl/>
        <w:spacing w:line="570" w:lineRule="atLeast"/>
        <w:ind w:firstLine="630" w:firstLineChars="196"/>
        <w:rPr>
          <w:rFonts w:hint="eastAsia" w:ascii="黑体" w:hAnsi="黑体" w:eastAsia="黑体" w:cs="黑体"/>
          <w:b/>
          <w:bCs/>
          <w:kern w:val="0"/>
          <w:sz w:val="32"/>
          <w:szCs w:val="32"/>
        </w:rPr>
      </w:pPr>
      <w:r>
        <w:rPr>
          <w:rFonts w:hint="eastAsia" w:ascii="黑体" w:hAnsi="黑体" w:eastAsia="黑体" w:cs="黑体"/>
          <w:b/>
          <w:bCs/>
          <w:kern w:val="0"/>
          <w:sz w:val="32"/>
          <w:szCs w:val="32"/>
        </w:rPr>
        <w:t>第一部分 2024年部门预算说明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一、部门基本概况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二、部门预算单位构成</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三、部门收支总体情况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四、一般公共预算拨款支出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五、政府性基金预算支出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六、其他重要事项的情况说明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七、名词解释</w:t>
      </w:r>
    </w:p>
    <w:p>
      <w:pPr>
        <w:ind w:firstLine="643" w:firstLineChars="200"/>
        <w:rPr>
          <w:rFonts w:hint="eastAsia" w:asciiTheme="minorEastAsia" w:hAnsiTheme="minorEastAsia" w:eastAsiaTheme="minorEastAsia" w:cstheme="minorEastAsia"/>
          <w:sz w:val="28"/>
          <w:szCs w:val="28"/>
        </w:rPr>
      </w:pPr>
      <w:r>
        <w:rPr>
          <w:rFonts w:hint="eastAsia" w:ascii="黑体" w:hAnsi="黑体" w:eastAsia="黑体" w:cs="黑体"/>
          <w:b/>
          <w:bCs/>
          <w:kern w:val="0"/>
          <w:sz w:val="32"/>
          <w:szCs w:val="32"/>
        </w:rPr>
        <w:t>第二部分 2024年部门预算表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jc w:val="center"/>
        <w:rPr>
          <w:rFonts w:hint="eastAsia" w:asciiTheme="minorEastAsia" w:hAnsiTheme="minorEastAsia" w:eastAsiaTheme="minorEastAsia" w:cstheme="minorEastAsia"/>
          <w:b/>
          <w:bCs/>
          <w:sz w:val="28"/>
          <w:szCs w:val="28"/>
        </w:rPr>
      </w:pPr>
    </w:p>
    <w:p>
      <w:pPr>
        <w:jc w:val="center"/>
        <w:rPr>
          <w:rFonts w:hint="eastAsia" w:ascii="Times New Roman" w:hAnsi="Times New Roman" w:eastAsia="方正小标宋_GBK" w:cs="Times New Roman"/>
          <w:b/>
          <w:bCs/>
          <w:kern w:val="0"/>
          <w:sz w:val="36"/>
          <w:szCs w:val="36"/>
        </w:rPr>
      </w:pPr>
      <w:r>
        <w:rPr>
          <w:rFonts w:hint="eastAsia" w:ascii="Times New Roman" w:hAnsi="Times New Roman" w:eastAsia="方正小标宋_GBK" w:cs="Times New Roman"/>
          <w:b/>
          <w:bCs/>
          <w:kern w:val="0"/>
          <w:sz w:val="36"/>
          <w:szCs w:val="36"/>
        </w:rPr>
        <w:t>第一部分 部门预算公开说明</w:t>
      </w:r>
    </w:p>
    <w:p>
      <w:pPr>
        <w:widowControl/>
        <w:spacing w:line="570" w:lineRule="atLeast"/>
        <w:ind w:firstLine="643" w:firstLineChars="200"/>
        <w:rPr>
          <w:rFonts w:hint="eastAsia" w:ascii="Times New Roman" w:hAnsi="Times New Roman" w:eastAsia="黑体" w:cs="Times New Roman"/>
          <w:b/>
          <w:bCs/>
          <w:kern w:val="0"/>
          <w:sz w:val="32"/>
          <w:szCs w:val="32"/>
        </w:rPr>
      </w:pP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一、部门基本概况</w:t>
      </w:r>
    </w:p>
    <w:p>
      <w:pPr>
        <w:spacing w:line="570" w:lineRule="atLeast"/>
        <w:ind w:firstLine="643" w:firstLineChars="200"/>
        <w:rPr>
          <w:rFonts w:hint="eastAsia" w:ascii="楷体" w:hAnsi="楷体" w:eastAsia="楷体" w:cs="楷体"/>
          <w:b/>
          <w:bCs/>
          <w:color w:val="000000"/>
          <w:sz w:val="32"/>
          <w:szCs w:val="32"/>
          <w:shd w:val="clear" w:color="auto" w:fill="FFFFFF"/>
        </w:rPr>
      </w:pPr>
      <w:r>
        <w:rPr>
          <w:rFonts w:hint="eastAsia" w:ascii="楷体" w:hAnsi="楷体" w:eastAsia="楷体" w:cs="楷体"/>
          <w:b/>
          <w:bCs/>
          <w:color w:val="000000"/>
          <w:sz w:val="32"/>
          <w:szCs w:val="32"/>
          <w:shd w:val="clear" w:color="auto" w:fill="FFFFFF"/>
        </w:rPr>
        <w:t>（一）职能职责</w:t>
      </w:r>
    </w:p>
    <w:p>
      <w:pPr>
        <w:keepNext w:val="0"/>
        <w:keepLines w:val="0"/>
        <w:pageBreakBefore w:val="0"/>
        <w:kinsoku/>
        <w:wordWrap/>
        <w:overflowPunct/>
        <w:topLinePunct w:val="0"/>
        <w:autoSpaceDE/>
        <w:autoSpaceDN/>
        <w:bidi w:val="0"/>
        <w:adjustRightInd/>
        <w:snapToGrid/>
        <w:spacing w:line="600" w:lineRule="exact"/>
        <w:ind w:left="0" w:leftChars="0" w:firstLine="640"/>
        <w:textAlignment w:val="auto"/>
        <w:rPr>
          <w:rFonts w:hint="eastAsia" w:ascii="仿宋" w:hAnsi="仿宋" w:eastAsia="仿宋" w:cs="Times New Roman"/>
          <w:sz w:val="32"/>
          <w:szCs w:val="24"/>
        </w:rPr>
      </w:pPr>
      <w:r>
        <w:rPr>
          <w:rFonts w:hint="eastAsia" w:ascii="仿宋" w:hAnsi="仿宋" w:eastAsia="仿宋" w:cs="Times New Roman"/>
          <w:sz w:val="32"/>
          <w:szCs w:val="24"/>
          <w:lang w:eastAsia="zh-CN"/>
        </w:rPr>
        <w:t>中共岳阳市君山</w:t>
      </w:r>
      <w:r>
        <w:rPr>
          <w:rFonts w:hint="eastAsia" w:ascii="仿宋" w:hAnsi="仿宋" w:eastAsia="仿宋" w:cs="Times New Roman"/>
          <w:sz w:val="32"/>
          <w:szCs w:val="24"/>
        </w:rPr>
        <w:t>区委巡察</w:t>
      </w:r>
      <w:r>
        <w:rPr>
          <w:rFonts w:hint="eastAsia" w:ascii="仿宋" w:hAnsi="仿宋" w:eastAsia="仿宋" w:cs="Times New Roman"/>
          <w:sz w:val="32"/>
          <w:szCs w:val="24"/>
          <w:lang w:eastAsia="zh-CN"/>
        </w:rPr>
        <w:t>工作领导小组</w:t>
      </w:r>
      <w:r>
        <w:rPr>
          <w:rFonts w:hint="eastAsia" w:ascii="仿宋" w:hAnsi="仿宋" w:eastAsia="仿宋" w:cs="Times New Roman"/>
          <w:sz w:val="32"/>
          <w:szCs w:val="24"/>
        </w:rPr>
        <w:t>办</w:t>
      </w:r>
      <w:r>
        <w:rPr>
          <w:rFonts w:hint="eastAsia" w:ascii="仿宋" w:hAnsi="仿宋" w:eastAsia="仿宋" w:cs="Times New Roman"/>
          <w:sz w:val="32"/>
          <w:szCs w:val="24"/>
          <w:lang w:eastAsia="zh-CN"/>
        </w:rPr>
        <w:t>公室</w:t>
      </w:r>
      <w:r>
        <w:rPr>
          <w:rFonts w:hint="eastAsia" w:ascii="仿宋" w:hAnsi="仿宋" w:eastAsia="仿宋" w:cs="Times New Roman"/>
          <w:sz w:val="32"/>
          <w:szCs w:val="24"/>
          <w:lang w:val="en-US" w:eastAsia="zh-CN"/>
        </w:rPr>
        <w:t>是协助区委履行管党治党主体责任的党委工作机关，发挥统筹协调、指导督导、服务保障作用。主要职责包括：向区委巡察工作领导小组、市委巡察工作领导小组办公室报告巡察工作情况，传达贯彻中央、省委、市委、区委的决策和部署；统筹、协调、指导区委巡察组开展工作；制定巡察工作标准，规范巡察工作流程，完善巡察工作评价机制；承担调查研究、制度建设、督促整改、服务保障等工作；对巡察发现的普遍性、规律性问题进行综合、分析和研究，形成专题报告，为区委决策服务；对区委和区委巡察工作领导小组决定的事项及巡察移交事项进行督办；配合有关部门对巡察工作人员进行培训、考核、监督和管理；受理干部群众对巡察工作人员的举报和反映，提出处理意见；负责巡察信息处理和对外宣传公开工作；配合上级巡视和巡察组开展工作，承担巡视巡察的协调联络、服务保障、整改落实、信息处理等职责。</w:t>
      </w:r>
    </w:p>
    <w:p>
      <w:pPr>
        <w:spacing w:line="570" w:lineRule="atLeast"/>
        <w:ind w:firstLine="643" w:firstLineChars="200"/>
        <w:rPr>
          <w:rFonts w:hint="eastAsia" w:ascii="楷体" w:hAnsi="楷体" w:eastAsia="楷体" w:cs="楷体"/>
          <w:color w:val="000000"/>
          <w:sz w:val="32"/>
          <w:szCs w:val="32"/>
          <w:shd w:val="clear" w:color="auto" w:fill="FFFFFF"/>
        </w:rPr>
      </w:pPr>
      <w:r>
        <w:rPr>
          <w:rFonts w:hint="eastAsia" w:ascii="楷体" w:hAnsi="楷体" w:eastAsia="楷体" w:cs="楷体"/>
          <w:b/>
          <w:bCs/>
          <w:color w:val="000000"/>
          <w:sz w:val="32"/>
          <w:szCs w:val="32"/>
          <w:shd w:val="clear" w:color="auto" w:fill="FFFFFF"/>
        </w:rPr>
        <w:t>（二）机构设置</w:t>
      </w:r>
    </w:p>
    <w:p>
      <w:pPr>
        <w:widowControl/>
        <w:spacing w:line="600" w:lineRule="exact"/>
        <w:ind w:firstLine="640" w:firstLineChars="200"/>
        <w:jc w:val="left"/>
        <w:rPr>
          <w:rFonts w:hint="eastAsia" w:ascii="仿宋" w:hAnsi="仿宋" w:eastAsia="仿宋" w:cs="Times New Roman"/>
          <w:sz w:val="32"/>
          <w:szCs w:val="24"/>
          <w:lang w:val="en-US" w:eastAsia="zh-CN"/>
        </w:rPr>
      </w:pPr>
      <w:r>
        <w:rPr>
          <w:rFonts w:hint="eastAsia" w:ascii="仿宋" w:hAnsi="仿宋" w:eastAsia="仿宋" w:cs="Times New Roman"/>
          <w:sz w:val="32"/>
          <w:szCs w:val="24"/>
          <w:lang w:eastAsia="zh-CN"/>
        </w:rPr>
        <w:t>中共岳阳市君山区委巡察工作领导小组办公室设置4个内设机构，分别为：</w:t>
      </w:r>
      <w:r>
        <w:rPr>
          <w:rFonts w:hint="eastAsia" w:ascii="仿宋" w:hAnsi="仿宋" w:eastAsia="仿宋" w:cs="Times New Roman"/>
          <w:sz w:val="32"/>
          <w:szCs w:val="24"/>
          <w:lang w:val="en-US" w:eastAsia="zh-CN"/>
        </w:rPr>
        <w:t>综合股、巡察股、督办股、巡察信息中心。</w:t>
      </w:r>
    </w:p>
    <w:p>
      <w:pPr>
        <w:pStyle w:val="2"/>
        <w:rPr>
          <w:rFonts w:hint="eastAsia" w:ascii="仿宋" w:hAnsi="仿宋" w:eastAsia="仿宋" w:cs="Times New Roman"/>
          <w:sz w:val="32"/>
          <w:szCs w:val="24"/>
          <w:lang w:val="en-US" w:eastAsia="zh-CN"/>
        </w:rPr>
      </w:pPr>
    </w:p>
    <w:p>
      <w:pPr>
        <w:widowControl/>
        <w:spacing w:line="570" w:lineRule="atLeast"/>
        <w:ind w:firstLine="643" w:firstLineChars="200"/>
        <w:rPr>
          <w:rFonts w:hint="eastAsia" w:ascii="Times New Roman" w:hAnsi="Times New Roman" w:eastAsia="黑体" w:cs="Times New Roman"/>
          <w:b/>
          <w:bCs/>
          <w:color w:val="auto"/>
          <w:kern w:val="0"/>
          <w:sz w:val="32"/>
          <w:szCs w:val="32"/>
          <w:highlight w:val="none"/>
        </w:rPr>
      </w:pPr>
      <w:r>
        <w:rPr>
          <w:rFonts w:hint="eastAsia" w:ascii="Times New Roman" w:hAnsi="Times New Roman" w:eastAsia="黑体" w:cs="Times New Roman"/>
          <w:b/>
          <w:bCs/>
          <w:color w:val="auto"/>
          <w:kern w:val="0"/>
          <w:sz w:val="32"/>
          <w:szCs w:val="32"/>
          <w:highlight w:val="none"/>
        </w:rPr>
        <w:t>二、部门预算单位构成</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 w:hAnsi="仿宋" w:eastAsia="仿宋" w:cs="仿宋"/>
          <w:i w:val="0"/>
          <w:iCs w:val="0"/>
          <w:caps w:val="0"/>
          <w:color w:val="auto"/>
          <w:spacing w:val="0"/>
          <w:sz w:val="32"/>
          <w:szCs w:val="32"/>
          <w:highlight w:val="none"/>
          <w:shd w:val="clear" w:fill="FFFFFF"/>
        </w:rPr>
      </w:pPr>
      <w:bookmarkStart w:id="0" w:name="DEPT_COMPOSE"/>
      <w:r>
        <w:rPr>
          <w:rFonts w:hint="eastAsia" w:ascii="仿宋" w:hAnsi="仿宋" w:eastAsia="仿宋" w:cs="仿宋"/>
          <w:sz w:val="32"/>
          <w:szCs w:val="32"/>
          <w:lang w:eastAsia="zh-CN"/>
        </w:rPr>
        <w:t>中共岳阳市君山</w:t>
      </w:r>
      <w:r>
        <w:rPr>
          <w:rFonts w:hint="eastAsia" w:ascii="仿宋" w:hAnsi="仿宋" w:eastAsia="仿宋" w:cs="仿宋"/>
          <w:sz w:val="32"/>
          <w:szCs w:val="32"/>
        </w:rPr>
        <w:t>区委巡察</w:t>
      </w:r>
      <w:r>
        <w:rPr>
          <w:rFonts w:hint="eastAsia" w:ascii="仿宋" w:hAnsi="仿宋" w:eastAsia="仿宋" w:cs="仿宋"/>
          <w:sz w:val="32"/>
          <w:szCs w:val="32"/>
          <w:lang w:eastAsia="zh-CN"/>
        </w:rPr>
        <w:t>工作领导小组</w:t>
      </w:r>
      <w:r>
        <w:rPr>
          <w:rFonts w:hint="eastAsia" w:ascii="仿宋" w:hAnsi="仿宋" w:eastAsia="仿宋" w:cs="仿宋"/>
          <w:sz w:val="32"/>
          <w:szCs w:val="32"/>
        </w:rPr>
        <w:t>办</w:t>
      </w:r>
      <w:r>
        <w:rPr>
          <w:rFonts w:hint="eastAsia" w:ascii="仿宋" w:hAnsi="仿宋" w:eastAsia="仿宋" w:cs="仿宋"/>
          <w:sz w:val="32"/>
          <w:szCs w:val="32"/>
          <w:lang w:eastAsia="zh-CN"/>
        </w:rPr>
        <w:t>公室</w:t>
      </w:r>
      <w:r>
        <w:rPr>
          <w:rFonts w:hint="eastAsia" w:ascii="仿宋" w:hAnsi="仿宋" w:eastAsia="仿宋" w:cs="仿宋"/>
          <w:color w:val="auto"/>
          <w:kern w:val="2"/>
          <w:sz w:val="32"/>
          <w:szCs w:val="32"/>
          <w:highlight w:val="none"/>
          <w:shd w:val="clear" w:color="auto" w:fill="FFFFFF"/>
          <w:lang w:val="en-US" w:eastAsia="zh-CN" w:bidi="ar-SA"/>
        </w:rPr>
        <w:t>部门只有本级，没有其他二级预算单位，因此，纳入2024年部门预算编制范围的只有</w:t>
      </w:r>
      <w:r>
        <w:rPr>
          <w:rFonts w:hint="eastAsia" w:ascii="仿宋" w:hAnsi="仿宋" w:eastAsia="仿宋" w:cs="仿宋"/>
          <w:sz w:val="32"/>
          <w:szCs w:val="32"/>
          <w:lang w:eastAsia="zh-CN"/>
        </w:rPr>
        <w:t>中共岳阳市君山</w:t>
      </w:r>
      <w:r>
        <w:rPr>
          <w:rFonts w:hint="eastAsia" w:ascii="仿宋" w:hAnsi="仿宋" w:eastAsia="仿宋" w:cs="仿宋"/>
          <w:sz w:val="32"/>
          <w:szCs w:val="32"/>
        </w:rPr>
        <w:t>区委巡察</w:t>
      </w:r>
      <w:r>
        <w:rPr>
          <w:rFonts w:hint="eastAsia" w:ascii="仿宋" w:hAnsi="仿宋" w:eastAsia="仿宋" w:cs="仿宋"/>
          <w:sz w:val="32"/>
          <w:szCs w:val="32"/>
          <w:lang w:eastAsia="zh-CN"/>
        </w:rPr>
        <w:t>工作领导小组</w:t>
      </w:r>
      <w:r>
        <w:rPr>
          <w:rFonts w:hint="eastAsia" w:ascii="仿宋" w:hAnsi="仿宋" w:eastAsia="仿宋" w:cs="仿宋"/>
          <w:sz w:val="32"/>
          <w:szCs w:val="32"/>
        </w:rPr>
        <w:t>办</w:t>
      </w:r>
      <w:r>
        <w:rPr>
          <w:rFonts w:hint="eastAsia" w:ascii="仿宋" w:hAnsi="仿宋" w:eastAsia="仿宋" w:cs="仿宋"/>
          <w:sz w:val="32"/>
          <w:szCs w:val="32"/>
          <w:lang w:eastAsia="zh-CN"/>
        </w:rPr>
        <w:t>公室</w:t>
      </w:r>
      <w:r>
        <w:rPr>
          <w:rFonts w:hint="eastAsia" w:ascii="仿宋" w:hAnsi="仿宋" w:eastAsia="仿宋" w:cs="仿宋"/>
          <w:color w:val="auto"/>
          <w:kern w:val="2"/>
          <w:sz w:val="32"/>
          <w:szCs w:val="32"/>
          <w:highlight w:val="none"/>
          <w:shd w:val="clear" w:color="auto" w:fill="FFFFFF"/>
          <w:lang w:val="en-US" w:eastAsia="zh-CN" w:bidi="ar-SA"/>
        </w:rPr>
        <w:t>本级。</w:t>
      </w:r>
    </w:p>
    <w:bookmarkEnd w:id="0"/>
    <w:p>
      <w:pPr>
        <w:widowControl/>
        <w:spacing w:line="570" w:lineRule="atLeast"/>
        <w:ind w:firstLine="643" w:firstLineChars="200"/>
        <w:rPr>
          <w:rFonts w:hint="eastAsia" w:ascii="Times New Roman" w:hAnsi="Times New Roman" w:eastAsia="黑体" w:cs="Times New Roman"/>
          <w:b/>
          <w:bCs/>
          <w:color w:val="auto"/>
          <w:kern w:val="0"/>
          <w:sz w:val="32"/>
          <w:szCs w:val="32"/>
          <w:highlight w:val="none"/>
        </w:rPr>
      </w:pPr>
      <w:r>
        <w:rPr>
          <w:rFonts w:hint="eastAsia" w:ascii="Times New Roman" w:hAnsi="Times New Roman" w:eastAsia="黑体" w:cs="Times New Roman"/>
          <w:b/>
          <w:bCs/>
          <w:color w:val="auto"/>
          <w:kern w:val="0"/>
          <w:sz w:val="32"/>
          <w:szCs w:val="32"/>
          <w:highlight w:val="none"/>
          <w:lang w:val="en-US" w:eastAsia="zh-CN"/>
        </w:rPr>
        <w:t>三、</w:t>
      </w:r>
      <w:r>
        <w:rPr>
          <w:rFonts w:hint="eastAsia" w:ascii="Times New Roman" w:hAnsi="Times New Roman" w:eastAsia="黑体" w:cs="Times New Roman"/>
          <w:b/>
          <w:bCs/>
          <w:color w:val="auto"/>
          <w:kern w:val="0"/>
          <w:sz w:val="32"/>
          <w:szCs w:val="32"/>
          <w:highlight w:val="none"/>
        </w:rPr>
        <w:t>部门收支总体情况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本部门2024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rightChars="0" w:firstLine="643" w:firstLineChars="200"/>
        <w:jc w:val="both"/>
        <w:textAlignment w:val="center"/>
        <w:rPr>
          <w:rFonts w:hint="eastAsia" w:ascii="仿宋" w:hAnsi="仿宋" w:eastAsia="仿宋" w:cs="仿宋"/>
          <w:color w:val="000000"/>
          <w:kern w:val="2"/>
          <w:sz w:val="32"/>
          <w:szCs w:val="32"/>
          <w:shd w:val="clear" w:color="auto" w:fill="FFFFFF"/>
          <w:lang w:val="en-US" w:eastAsia="zh-CN" w:bidi="ar-SA"/>
        </w:rPr>
      </w:pPr>
      <w:r>
        <w:rPr>
          <w:rFonts w:hint="eastAsia" w:ascii="楷体" w:hAnsi="楷体" w:eastAsia="楷体" w:cs="楷体"/>
          <w:b/>
          <w:kern w:val="2"/>
          <w:sz w:val="32"/>
          <w:szCs w:val="32"/>
          <w:lang w:val="en-US" w:eastAsia="zh-CN" w:bidi="ar-SA"/>
        </w:rPr>
        <w:t>（一）收入预算：</w:t>
      </w:r>
      <w:r>
        <w:rPr>
          <w:rFonts w:hint="eastAsia" w:ascii="仿宋" w:hAnsi="仿宋" w:eastAsia="仿宋" w:cs="仿宋"/>
          <w:color w:val="auto"/>
          <w:kern w:val="2"/>
          <w:sz w:val="32"/>
          <w:szCs w:val="32"/>
          <w:highlight w:val="none"/>
          <w:shd w:val="clear" w:color="auto" w:fill="FFFFFF"/>
          <w:lang w:val="en-US" w:eastAsia="zh-CN" w:bidi="ar-SA"/>
        </w:rPr>
        <w:t>包括一般公共预算、政府性基金、国有资本经营预算等财政拨款收入，以及经营收入、事业收入等单位资金。2024年本部门收入预算249.66万元，其中，一般公共预算拨款249.66万元，政府性基金预算资金0.00万元(所以</w:t>
      </w:r>
      <w:r>
        <w:rPr>
          <w:rFonts w:hint="eastAsia" w:ascii="仿宋" w:hAnsi="仿宋" w:eastAsia="仿宋" w:cs="仿宋"/>
          <w:color w:val="auto"/>
          <w:sz w:val="32"/>
          <w:szCs w:val="32"/>
          <w:highlight w:val="none"/>
          <w:shd w:val="clear" w:color="auto" w:fill="FFFFFF"/>
          <w:lang w:val="en-US" w:eastAsia="zh-CN"/>
        </w:rPr>
        <w:t>部门预算公开表</w:t>
      </w:r>
      <w:r>
        <w:rPr>
          <w:rFonts w:hint="eastAsia" w:ascii="仿宋" w:hAnsi="仿宋" w:eastAsia="仿宋" w:cs="仿宋"/>
          <w:color w:val="auto"/>
          <w:kern w:val="2"/>
          <w:sz w:val="32"/>
          <w:szCs w:val="32"/>
          <w:highlight w:val="none"/>
          <w:shd w:val="clear" w:color="auto" w:fill="FFFFFF"/>
          <w:lang w:val="en-US" w:eastAsia="zh-CN" w:bidi="ar-SA"/>
        </w:rPr>
        <w:t>15-17表为空)，国有资本经营预算资金0.00万元(所以</w:t>
      </w:r>
      <w:r>
        <w:rPr>
          <w:rFonts w:hint="eastAsia" w:ascii="仿宋" w:hAnsi="仿宋" w:eastAsia="仿宋" w:cs="仿宋"/>
          <w:color w:val="auto"/>
          <w:sz w:val="32"/>
          <w:szCs w:val="32"/>
          <w:highlight w:val="none"/>
          <w:shd w:val="clear" w:color="auto" w:fill="FFFFFF"/>
          <w:lang w:val="en-US" w:eastAsia="zh-CN"/>
        </w:rPr>
        <w:t>部门预算公开表</w:t>
      </w:r>
      <w:r>
        <w:rPr>
          <w:rFonts w:hint="eastAsia" w:ascii="仿宋" w:hAnsi="仿宋" w:eastAsia="仿宋" w:cs="仿宋"/>
          <w:color w:val="auto"/>
          <w:kern w:val="2"/>
          <w:sz w:val="32"/>
          <w:szCs w:val="32"/>
          <w:highlight w:val="none"/>
          <w:shd w:val="clear" w:color="auto" w:fill="FFFFFF"/>
          <w:lang w:val="en-US" w:eastAsia="zh-CN" w:bidi="ar-SA"/>
        </w:rPr>
        <w:t>18表为空)，财政专户管理资金0.00万元(所以</w:t>
      </w:r>
      <w:r>
        <w:rPr>
          <w:rFonts w:hint="eastAsia" w:ascii="仿宋" w:hAnsi="仿宋" w:eastAsia="仿宋" w:cs="仿宋"/>
          <w:color w:val="auto"/>
          <w:sz w:val="32"/>
          <w:szCs w:val="32"/>
          <w:highlight w:val="none"/>
          <w:shd w:val="clear" w:color="auto" w:fill="FFFFFF"/>
          <w:lang w:val="en-US" w:eastAsia="zh-CN"/>
        </w:rPr>
        <w:t>部门预算公开表</w:t>
      </w:r>
      <w:r>
        <w:rPr>
          <w:rFonts w:hint="eastAsia" w:ascii="仿宋" w:hAnsi="仿宋" w:eastAsia="仿宋" w:cs="仿宋"/>
          <w:color w:val="auto"/>
          <w:kern w:val="2"/>
          <w:sz w:val="32"/>
          <w:szCs w:val="32"/>
          <w:highlight w:val="none"/>
          <w:shd w:val="clear" w:color="auto" w:fill="FFFFFF"/>
          <w:lang w:val="en-US" w:eastAsia="zh-CN" w:bidi="ar-SA"/>
        </w:rPr>
        <w:t>19表为空</w:t>
      </w:r>
      <w:r>
        <w:rPr>
          <w:rFonts w:hint="eastAsia" w:ascii="仿宋" w:hAnsi="仿宋" w:eastAsia="仿宋" w:cs="仿宋"/>
          <w:color w:val="000000"/>
          <w:kern w:val="2"/>
          <w:sz w:val="32"/>
          <w:szCs w:val="32"/>
          <w:shd w:val="clear" w:color="auto" w:fill="FFFFFF"/>
          <w:lang w:val="en-US" w:eastAsia="zh-CN" w:bidi="ar-SA"/>
        </w:rPr>
        <w:t>)，上级补助收入资金0.00万元，事业单位经营收入资金0.00万元，上年结转结余0.00万元。收入较上年减少13.72万元，下降5.21%。主要原因是落实中央“八项规定”精神和“过紧日子”的要求，合理安排巡察工作任务，从严控制费用开支，从而导致按项目管理的商品和服务支出减少。</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Chars="200" w:right="0" w:rightChars="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drawing>
          <wp:inline distT="0" distB="0" distL="114300" distR="114300">
            <wp:extent cx="4727575" cy="2476500"/>
            <wp:effectExtent l="6350" t="6350" r="9525" b="1270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rightChars="0" w:firstLine="643" w:firstLineChars="200"/>
        <w:jc w:val="both"/>
        <w:textAlignment w:val="center"/>
        <w:rPr>
          <w:rFonts w:hint="eastAsia" w:ascii="仿宋" w:hAnsi="仿宋" w:eastAsia="仿宋" w:cs="仿宋"/>
          <w:color w:val="000000"/>
          <w:kern w:val="2"/>
          <w:sz w:val="32"/>
          <w:szCs w:val="32"/>
          <w:shd w:val="clear" w:color="auto" w:fill="FFFFFF"/>
          <w:lang w:val="en-US" w:eastAsia="zh-CN" w:bidi="ar-SA"/>
        </w:rPr>
      </w:pPr>
      <w:r>
        <w:rPr>
          <w:rFonts w:hint="eastAsia" w:ascii="楷体" w:hAnsi="楷体" w:eastAsia="楷体" w:cs="楷体"/>
          <w:b/>
          <w:kern w:val="2"/>
          <w:sz w:val="32"/>
          <w:szCs w:val="32"/>
          <w:lang w:val="en-US" w:eastAsia="zh-CN" w:bidi="ar-SA"/>
        </w:rPr>
        <w:t>（二）支出预算：</w:t>
      </w:r>
      <w:r>
        <w:rPr>
          <w:rFonts w:hint="eastAsia" w:ascii="仿宋" w:hAnsi="仿宋" w:eastAsia="仿宋" w:cs="仿宋"/>
          <w:color w:val="000000"/>
          <w:kern w:val="2"/>
          <w:sz w:val="32"/>
          <w:szCs w:val="32"/>
          <w:shd w:val="clear" w:color="auto" w:fill="FFFFFF"/>
          <w:lang w:val="en-US" w:eastAsia="zh-CN" w:bidi="ar-SA"/>
        </w:rPr>
        <w:t>2024年本部门支出预算</w:t>
      </w:r>
      <w:r>
        <w:rPr>
          <w:rFonts w:hint="eastAsia" w:ascii="仿宋" w:hAnsi="仿宋" w:eastAsia="仿宋" w:cs="仿宋"/>
          <w:color w:val="auto"/>
          <w:kern w:val="2"/>
          <w:sz w:val="32"/>
          <w:szCs w:val="32"/>
          <w:highlight w:val="none"/>
          <w:shd w:val="clear" w:color="auto" w:fill="FFFFFF"/>
          <w:lang w:val="en-US" w:eastAsia="zh-CN" w:bidi="ar-SA"/>
        </w:rPr>
        <w:t>249.66</w:t>
      </w:r>
      <w:r>
        <w:rPr>
          <w:rFonts w:hint="eastAsia" w:ascii="仿宋" w:hAnsi="仿宋" w:eastAsia="仿宋" w:cs="仿宋"/>
          <w:color w:val="000000"/>
          <w:kern w:val="2"/>
          <w:sz w:val="32"/>
          <w:szCs w:val="32"/>
          <w:shd w:val="clear" w:color="auto" w:fill="FFFFFF"/>
          <w:lang w:val="en-US" w:eastAsia="zh-CN" w:bidi="ar-SA"/>
        </w:rPr>
        <w:t>万元，其中：一般公共服务支出211.38万元，社会保障和就业支出17.62万元，卫生健康支出7.74万元，住房保障支出12.92万元。支出较上年减少13.72万元，下降5.21%。主要原因是落实中央“八项规定”精神和“过紧日子”的要求，合理安排巡察工作任务，从严控制费用开支，从而导致按项目管理的商品和服务支出减少。</w:t>
      </w:r>
    </w:p>
    <w:p>
      <w:pPr>
        <w:widowControl/>
        <w:spacing w:line="570" w:lineRule="atLeast"/>
        <w:ind w:firstLine="420" w:firstLineChars="200"/>
        <w:rPr>
          <w:rFonts w:hint="eastAsia" w:ascii="Times New Roman" w:hAnsi="Times New Roman" w:eastAsia="黑体" w:cs="Times New Roman"/>
          <w:b/>
          <w:bCs/>
          <w:kern w:val="0"/>
          <w:sz w:val="32"/>
          <w:szCs w:val="32"/>
        </w:rPr>
      </w:pPr>
      <w:r>
        <w:rPr>
          <w:rFonts w:hint="eastAsia"/>
          <w:lang w:val="en-US" w:eastAsia="zh-CN"/>
        </w:rPr>
        <w:t xml:space="preserve">    </w:t>
      </w:r>
      <w:r>
        <w:drawing>
          <wp:inline distT="0" distB="0" distL="114300" distR="114300">
            <wp:extent cx="4596765" cy="3001010"/>
            <wp:effectExtent l="4445" t="4445" r="8890" b="23495"/>
            <wp:docPr id="2" name="图表 1" descr="7b0a202020202263686172745265734964223a202232303437353539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四、一般公共预算拨款支出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2024年本部门一般公共预算拨款支出</w:t>
      </w:r>
      <w:r>
        <w:rPr>
          <w:rFonts w:hint="eastAsia" w:ascii="仿宋" w:hAnsi="仿宋" w:eastAsia="仿宋" w:cs="仿宋"/>
          <w:color w:val="auto"/>
          <w:kern w:val="2"/>
          <w:sz w:val="32"/>
          <w:szCs w:val="32"/>
          <w:highlight w:val="none"/>
          <w:shd w:val="clear" w:color="auto" w:fill="FFFFFF"/>
          <w:lang w:val="en-US" w:eastAsia="zh-CN" w:bidi="ar-SA"/>
        </w:rPr>
        <w:t>249.66</w:t>
      </w:r>
      <w:r>
        <w:rPr>
          <w:rFonts w:hint="eastAsia" w:ascii="仿宋" w:hAnsi="仿宋" w:eastAsia="仿宋" w:cs="仿宋"/>
          <w:color w:val="000000"/>
          <w:kern w:val="2"/>
          <w:sz w:val="32"/>
          <w:szCs w:val="32"/>
          <w:shd w:val="clear" w:color="auto" w:fill="FFFFFF"/>
          <w:lang w:val="en-US" w:eastAsia="zh-CN" w:bidi="ar-SA"/>
        </w:rPr>
        <w:t>万元，其中：一般公共服务支出211.38万元，占84.67%；社会保障和就业支出17.62万元，占7.06%；卫生健康支出7.74万元，占3.1%；住房保障支出12.92万元，占5.17%。具体安排情况如下：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 w:hAnsi="仿宋" w:eastAsia="仿宋" w:cs="仿宋"/>
          <w:color w:val="000000"/>
          <w:kern w:val="2"/>
          <w:sz w:val="32"/>
          <w:szCs w:val="32"/>
          <w:shd w:val="clear" w:color="auto" w:fill="FFFFFF"/>
          <w:lang w:val="en-US" w:eastAsia="zh-CN" w:bidi="ar-SA"/>
        </w:rPr>
      </w:pPr>
      <w:r>
        <w:rPr>
          <w:rFonts w:hint="eastAsia" w:ascii="楷体" w:hAnsi="楷体" w:eastAsia="楷体" w:cs="楷体"/>
          <w:b/>
          <w:sz w:val="32"/>
          <w:szCs w:val="32"/>
        </w:rPr>
        <w:t>（一）基本支出：</w:t>
      </w:r>
      <w:r>
        <w:rPr>
          <w:rFonts w:hint="eastAsia" w:ascii="仿宋" w:hAnsi="仿宋" w:eastAsia="仿宋" w:cs="仿宋"/>
          <w:color w:val="000000"/>
          <w:kern w:val="2"/>
          <w:sz w:val="32"/>
          <w:szCs w:val="32"/>
          <w:shd w:val="clear" w:color="auto" w:fill="FFFFFF"/>
          <w:lang w:val="en-US" w:eastAsia="zh-CN" w:bidi="ar-SA"/>
        </w:rPr>
        <w:t>2024年本部门基本支出预算数179.26万元，主要是为保障部门正常运转、完成日常工作任务而发生的各项支出，包括用于基本工资、津贴补贴等人员经费以及办公费、印刷费、水电费、办公设备购置等公用经费。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 w:hAnsi="仿宋" w:eastAsia="仿宋" w:cs="仿宋"/>
          <w:color w:val="000000"/>
          <w:kern w:val="2"/>
          <w:sz w:val="32"/>
          <w:szCs w:val="32"/>
          <w:shd w:val="clear" w:color="auto" w:fill="FFFFFF"/>
          <w:lang w:val="en-US" w:eastAsia="zh-CN" w:bidi="ar-SA"/>
        </w:rPr>
      </w:pPr>
      <w:r>
        <w:rPr>
          <w:rFonts w:hint="eastAsia" w:ascii="楷体" w:hAnsi="楷体" w:eastAsia="楷体" w:cs="楷体"/>
          <w:b/>
          <w:bCs/>
          <w:color w:val="000000"/>
          <w:kern w:val="2"/>
          <w:sz w:val="32"/>
          <w:szCs w:val="32"/>
          <w:shd w:val="clear" w:color="auto" w:fill="FFFFFF"/>
          <w:lang w:val="en-US" w:eastAsia="zh-CN" w:bidi="ar-SA"/>
        </w:rPr>
        <w:t>（二）项目支出：</w:t>
      </w:r>
      <w:r>
        <w:rPr>
          <w:rFonts w:hint="eastAsia" w:ascii="仿宋" w:hAnsi="仿宋" w:eastAsia="仿宋" w:cs="仿宋"/>
          <w:color w:val="000000"/>
          <w:kern w:val="2"/>
          <w:sz w:val="32"/>
          <w:szCs w:val="32"/>
          <w:shd w:val="clear" w:color="auto" w:fill="FFFFFF"/>
          <w:lang w:val="en-US" w:eastAsia="zh-CN" w:bidi="ar-SA"/>
        </w:rPr>
        <w:t>2024年本部门项目支出预算70.4万元，主要是本部门为完成特定工作任务或事业发展目标而发生的支出，包括常规巡察、专项巡察和村（社区）巡察的业务工作经费等，其中：一般公共服务支出70.4万元，主要用于2024年常规巡察、专项巡察、村（社区）巡察的巡前准备、巡中指导、巡察整改、巡察“回头看”等工作。</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五、政府性基金预算支出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2024年度本部门无政府性基金安排的支出，所以公开的附件15-17表（政府性基金预算）为空。</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六、其他重要事项的情况说明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 w:hAnsi="仿宋" w:eastAsia="仿宋" w:cs="仿宋"/>
          <w:color w:val="auto"/>
          <w:kern w:val="2"/>
          <w:sz w:val="32"/>
          <w:szCs w:val="32"/>
          <w:shd w:val="clear" w:color="auto" w:fill="FFFFFF"/>
          <w:lang w:val="en-US" w:eastAsia="zh-CN" w:bidi="ar-SA"/>
        </w:rPr>
      </w:pPr>
      <w:r>
        <w:rPr>
          <w:rFonts w:hint="eastAsia" w:ascii="楷体" w:hAnsi="楷体" w:eastAsia="楷体" w:cs="楷体"/>
          <w:b/>
          <w:bCs/>
          <w:color w:val="auto"/>
          <w:kern w:val="2"/>
          <w:sz w:val="32"/>
          <w:szCs w:val="32"/>
          <w:shd w:val="clear" w:color="auto" w:fill="FFFFFF"/>
          <w:lang w:val="en-US" w:eastAsia="zh-CN" w:bidi="ar-SA"/>
        </w:rPr>
        <w:t>（一）机关运行经费：</w:t>
      </w:r>
      <w:r>
        <w:rPr>
          <w:rFonts w:hint="eastAsia" w:ascii="仿宋" w:hAnsi="仿宋" w:eastAsia="仿宋" w:cs="仿宋"/>
          <w:color w:val="auto"/>
          <w:kern w:val="2"/>
          <w:sz w:val="32"/>
          <w:szCs w:val="32"/>
          <w:shd w:val="clear" w:color="auto" w:fill="FFFFFF"/>
          <w:lang w:val="en-US" w:eastAsia="zh-CN" w:bidi="ar-SA"/>
        </w:rPr>
        <w:t>2024年</w:t>
      </w:r>
      <w:r>
        <w:rPr>
          <w:rFonts w:hint="eastAsia" w:ascii="仿宋" w:hAnsi="仿宋" w:eastAsia="仿宋" w:cs="仿宋"/>
          <w:color w:val="auto"/>
          <w:sz w:val="32"/>
          <w:szCs w:val="24"/>
          <w:lang w:eastAsia="zh-CN"/>
        </w:rPr>
        <w:t>中共岳阳市君山</w:t>
      </w:r>
      <w:r>
        <w:rPr>
          <w:rFonts w:hint="eastAsia" w:ascii="仿宋" w:hAnsi="仿宋" w:eastAsia="仿宋" w:cs="仿宋"/>
          <w:color w:val="auto"/>
          <w:sz w:val="32"/>
          <w:szCs w:val="24"/>
        </w:rPr>
        <w:t>区委巡察</w:t>
      </w:r>
      <w:r>
        <w:rPr>
          <w:rFonts w:hint="eastAsia" w:ascii="仿宋" w:hAnsi="仿宋" w:eastAsia="仿宋" w:cs="仿宋"/>
          <w:color w:val="auto"/>
          <w:sz w:val="32"/>
          <w:szCs w:val="24"/>
          <w:lang w:eastAsia="zh-CN"/>
        </w:rPr>
        <w:t>工作领导小组</w:t>
      </w:r>
      <w:r>
        <w:rPr>
          <w:rFonts w:hint="eastAsia" w:ascii="仿宋" w:hAnsi="仿宋" w:eastAsia="仿宋" w:cs="仿宋"/>
          <w:color w:val="auto"/>
          <w:sz w:val="32"/>
          <w:szCs w:val="24"/>
        </w:rPr>
        <w:t>办</w:t>
      </w:r>
      <w:r>
        <w:rPr>
          <w:rFonts w:hint="eastAsia" w:ascii="仿宋" w:hAnsi="仿宋" w:eastAsia="仿宋" w:cs="仿宋"/>
          <w:color w:val="auto"/>
          <w:sz w:val="32"/>
          <w:szCs w:val="24"/>
          <w:lang w:eastAsia="zh-CN"/>
        </w:rPr>
        <w:t>公室</w:t>
      </w:r>
      <w:r>
        <w:rPr>
          <w:rFonts w:hint="eastAsia" w:ascii="仿宋" w:hAnsi="仿宋" w:eastAsia="仿宋" w:cs="仿宋"/>
          <w:color w:val="auto"/>
          <w:kern w:val="2"/>
          <w:sz w:val="32"/>
          <w:szCs w:val="32"/>
          <w:shd w:val="clear" w:color="auto" w:fill="FFFFFF"/>
          <w:lang w:val="en-US" w:eastAsia="zh-CN" w:bidi="ar-SA"/>
        </w:rPr>
        <w:t>部门机关运行经费33.34万元，比上年预算上升26.29%。主要原因是人员增加，造成公用经费预算增加。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楷体" w:hAnsi="楷体" w:eastAsia="楷体" w:cs="楷体"/>
          <w:b/>
          <w:bCs/>
          <w:color w:val="000000"/>
          <w:kern w:val="2"/>
          <w:sz w:val="32"/>
          <w:szCs w:val="32"/>
          <w:shd w:val="clear" w:color="auto" w:fill="FFFFFF"/>
          <w:lang w:val="en-US" w:eastAsia="zh-CN" w:bidi="ar-SA"/>
        </w:rPr>
        <w:t>（二）“三公”经费预算：</w:t>
      </w:r>
      <w:r>
        <w:rPr>
          <w:rFonts w:hint="eastAsia" w:ascii="仿宋" w:hAnsi="仿宋" w:eastAsia="仿宋" w:cs="仿宋"/>
          <w:color w:val="000000"/>
          <w:kern w:val="2"/>
          <w:sz w:val="32"/>
          <w:szCs w:val="32"/>
          <w:shd w:val="clear" w:color="auto" w:fill="FFFFFF"/>
          <w:lang w:val="en-US" w:eastAsia="zh-CN" w:bidi="ar-SA"/>
        </w:rPr>
        <w:t>2024年本部门“三公”经费预算数为0.6万元，其中，公务接待费0.6万元，公务用车购置及运行费0万元（其中，公务用车购置费0万元，公务用车运行费0万元），因公出国（境）费0万元。2024年“三公”经费预算较2023年未变化，主要原因是严格落实中央“八项规定”精神和“过紧日子”的要求，从严控制“三公”经费支出。</w:t>
      </w:r>
      <w:bookmarkStart w:id="1" w:name="DIS_MARK_IS_ZERO_06_2"/>
      <w:bookmarkEnd w:id="1"/>
      <w:bookmarkStart w:id="2" w:name="START_IS_ZERO_06_2"/>
      <w:bookmarkEnd w:id="2"/>
      <w:bookmarkStart w:id="3" w:name="END_IS_ZERO_06_1"/>
      <w:bookmarkEnd w:id="3"/>
      <w:bookmarkStart w:id="4" w:name="END_IS_ZERO_06_2"/>
      <w:bookmarkEnd w:id="4"/>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 w:hAnsi="仿宋" w:eastAsia="仿宋" w:cs="仿宋"/>
          <w:color w:val="000000"/>
          <w:kern w:val="2"/>
          <w:sz w:val="32"/>
          <w:szCs w:val="32"/>
          <w:shd w:val="clear" w:color="auto" w:fill="FFFFFF"/>
          <w:lang w:val="en-US" w:eastAsia="zh-CN" w:bidi="ar-SA"/>
        </w:rPr>
      </w:pPr>
      <w:r>
        <w:rPr>
          <w:rFonts w:hint="eastAsia" w:ascii="楷体" w:hAnsi="楷体" w:eastAsia="楷体" w:cs="楷体"/>
          <w:b/>
          <w:bCs/>
          <w:color w:val="000000"/>
          <w:kern w:val="2"/>
          <w:sz w:val="32"/>
          <w:szCs w:val="32"/>
          <w:shd w:val="clear" w:color="auto" w:fill="FFFFFF"/>
          <w:lang w:val="en-US" w:eastAsia="zh-CN" w:bidi="ar-SA"/>
        </w:rPr>
        <w:t>（三）一般性支出情况：</w:t>
      </w:r>
      <w:r>
        <w:rPr>
          <w:rFonts w:hint="eastAsia" w:ascii="仿宋" w:hAnsi="仿宋" w:eastAsia="仿宋" w:cs="仿宋"/>
          <w:color w:val="000000"/>
          <w:kern w:val="2"/>
          <w:sz w:val="32"/>
          <w:szCs w:val="32"/>
          <w:shd w:val="clear" w:color="auto" w:fill="FFFFFF"/>
          <w:lang w:val="en-US" w:eastAsia="zh-CN" w:bidi="ar-SA"/>
        </w:rPr>
        <w:t>2024年本部门会议费预算1万元，拟召开常规巡察、机动巡察或专项巡察动员部署会、反馈会等</w:t>
      </w:r>
      <w:r>
        <w:rPr>
          <w:rFonts w:hint="eastAsia" w:ascii="仿宋" w:hAnsi="仿宋" w:eastAsia="仿宋" w:cs="仿宋"/>
          <w:color w:val="000000"/>
          <w:sz w:val="32"/>
          <w:szCs w:val="32"/>
          <w:shd w:val="clear" w:color="auto" w:fill="FFFFFF"/>
          <w:lang w:val="en-US" w:eastAsia="zh-CN"/>
        </w:rPr>
        <w:t>6次</w:t>
      </w:r>
      <w:r>
        <w:rPr>
          <w:rFonts w:hint="eastAsia" w:ascii="仿宋" w:hAnsi="仿宋" w:eastAsia="仿宋" w:cs="仿宋"/>
          <w:color w:val="000000"/>
          <w:kern w:val="2"/>
          <w:sz w:val="32"/>
          <w:szCs w:val="32"/>
          <w:shd w:val="clear" w:color="auto" w:fill="FFFFFF"/>
          <w:lang w:val="en-US" w:eastAsia="zh-CN" w:bidi="ar-SA"/>
        </w:rPr>
        <w:t>会议，人数256人，内容为会场租赁、会议资料和其他杂费等；培训费预算1万元，拟开展六届区委第六轮、第七轮常规巡察、专项巡察、机动巡察等</w:t>
      </w:r>
      <w:r>
        <w:rPr>
          <w:rFonts w:hint="eastAsia" w:ascii="仿宋" w:hAnsi="仿宋" w:eastAsia="仿宋" w:cs="仿宋"/>
          <w:color w:val="000000"/>
          <w:sz w:val="32"/>
          <w:szCs w:val="32"/>
          <w:shd w:val="clear" w:color="auto" w:fill="FFFFFF"/>
          <w:lang w:val="en-US" w:eastAsia="zh-CN"/>
        </w:rPr>
        <w:t>4次</w:t>
      </w:r>
      <w:r>
        <w:rPr>
          <w:rFonts w:hint="eastAsia" w:ascii="仿宋" w:hAnsi="仿宋" w:eastAsia="仿宋" w:cs="仿宋"/>
          <w:color w:val="000000"/>
          <w:kern w:val="2"/>
          <w:sz w:val="32"/>
          <w:szCs w:val="32"/>
          <w:shd w:val="clear" w:color="auto" w:fill="FFFFFF"/>
          <w:lang w:val="en-US" w:eastAsia="zh-CN" w:bidi="ar-SA"/>
        </w:rPr>
        <w:t>培训，人数160人，内容为授课费、场地租赁费、培训餐费等；2024年度本部门未计划举办节庆、晚会、论坛、赛事活动。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 w:hAnsi="仿宋" w:eastAsia="仿宋" w:cs="仿宋"/>
          <w:color w:val="000000"/>
          <w:kern w:val="2"/>
          <w:sz w:val="32"/>
          <w:szCs w:val="32"/>
          <w:shd w:val="clear" w:color="auto" w:fill="FFFFFF"/>
          <w:lang w:val="en-US" w:eastAsia="zh-CN" w:bidi="ar-SA"/>
        </w:rPr>
      </w:pPr>
      <w:r>
        <w:rPr>
          <w:rFonts w:hint="eastAsia" w:ascii="楷体" w:hAnsi="楷体" w:eastAsia="楷体" w:cs="楷体"/>
          <w:b/>
          <w:bCs/>
          <w:color w:val="000000"/>
          <w:kern w:val="2"/>
          <w:sz w:val="32"/>
          <w:szCs w:val="32"/>
          <w:shd w:val="clear" w:color="auto" w:fill="FFFFFF"/>
          <w:lang w:val="en-US" w:eastAsia="zh-CN" w:bidi="ar-SA"/>
        </w:rPr>
        <w:t>（四）政府采购情况：</w:t>
      </w:r>
      <w:r>
        <w:rPr>
          <w:rFonts w:hint="eastAsia" w:ascii="仿宋" w:hAnsi="仿宋" w:eastAsia="仿宋" w:cs="仿宋"/>
          <w:color w:val="000000"/>
          <w:kern w:val="2"/>
          <w:sz w:val="32"/>
          <w:szCs w:val="32"/>
          <w:shd w:val="clear" w:color="auto" w:fill="FFFFFF"/>
          <w:lang w:val="en-US" w:eastAsia="zh-CN" w:bidi="ar-SA"/>
        </w:rPr>
        <w:t>2024年本部门政府采购预算总额26万元，其中，货物类采购预算18万元；工程类采购预算0万元；服务类采购预算8万元。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 w:hAnsi="仿宋" w:eastAsia="仿宋" w:cs="仿宋"/>
          <w:color w:val="000000"/>
          <w:kern w:val="2"/>
          <w:sz w:val="32"/>
          <w:szCs w:val="32"/>
          <w:shd w:val="clear" w:color="auto" w:fill="FFFFFF"/>
          <w:lang w:val="en-US" w:eastAsia="zh-CN" w:bidi="ar-SA"/>
        </w:rPr>
      </w:pPr>
      <w:r>
        <w:rPr>
          <w:rFonts w:hint="eastAsia" w:ascii="楷体" w:hAnsi="楷体" w:eastAsia="楷体" w:cs="楷体"/>
          <w:b/>
          <w:bCs/>
          <w:color w:val="000000"/>
          <w:kern w:val="2"/>
          <w:sz w:val="32"/>
          <w:szCs w:val="32"/>
          <w:shd w:val="clear" w:color="auto" w:fill="FFFFFF"/>
          <w:lang w:val="en-US" w:eastAsia="zh-CN" w:bidi="ar-SA"/>
        </w:rPr>
        <w:t>（五）国有资产占用使用及新增资产配置情况：</w:t>
      </w:r>
      <w:r>
        <w:rPr>
          <w:rFonts w:hint="eastAsia" w:ascii="仿宋" w:hAnsi="仿宋" w:eastAsia="仿宋" w:cs="仿宋"/>
          <w:color w:val="000000"/>
          <w:kern w:val="2"/>
          <w:sz w:val="32"/>
          <w:szCs w:val="32"/>
          <w:shd w:val="clear" w:color="auto" w:fill="FFFFFF"/>
          <w:lang w:val="en-US" w:eastAsia="zh-CN" w:bidi="ar-SA"/>
        </w:rPr>
        <w:t>截至2023年12月底，本部门共有公务用车0辆，其中，机要通信用车0辆，应急保障用车0辆，执法执勤用车0辆，特种专业技术用车0辆，其他按照规定配备的公务用车0辆；单位价值50万元以上设备0台，其中，单位价值100万元以上设备0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firstLine="640" w:firstLineChars="200"/>
        <w:jc w:val="both"/>
        <w:textAlignment w:val="center"/>
        <w:rPr>
          <w:rFonts w:hint="eastAsia" w:ascii="仿宋" w:hAnsi="仿宋" w:eastAsia="仿宋" w:cs="仿宋"/>
          <w:color w:val="000000"/>
          <w:kern w:val="2"/>
          <w:sz w:val="32"/>
          <w:szCs w:val="32"/>
          <w:highlight w:val="none"/>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2024年拟新增配置公务用车0辆，其中，机要通信用车0辆，应急保障用车0辆，执法执勤用</w:t>
      </w:r>
      <w:r>
        <w:rPr>
          <w:rFonts w:hint="eastAsia" w:ascii="仿宋" w:hAnsi="仿宋" w:eastAsia="仿宋" w:cs="仿宋"/>
          <w:color w:val="000000"/>
          <w:kern w:val="2"/>
          <w:sz w:val="32"/>
          <w:szCs w:val="32"/>
          <w:highlight w:val="none"/>
          <w:shd w:val="clear" w:color="auto" w:fill="FFFFFF"/>
          <w:lang w:val="en-US" w:eastAsia="zh-CN" w:bidi="ar-SA"/>
        </w:rPr>
        <w:t>车0辆，特种专业技术用车0辆，其他按照规定配备的公务用车0辆；新增配备单位价值50万元以上设备0台，其中，单位价值100万元以上设备0台。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 w:hAnsi="仿宋" w:eastAsia="仿宋" w:cs="仿宋"/>
          <w:color w:val="000000"/>
          <w:kern w:val="2"/>
          <w:sz w:val="32"/>
          <w:szCs w:val="32"/>
          <w:shd w:val="clear" w:color="auto" w:fill="FFFFFF"/>
          <w:lang w:val="en-US" w:eastAsia="zh-CN" w:bidi="ar-SA"/>
        </w:rPr>
      </w:pPr>
      <w:r>
        <w:rPr>
          <w:rFonts w:hint="eastAsia" w:ascii="楷体" w:hAnsi="楷体" w:eastAsia="楷体" w:cs="楷体"/>
          <w:b/>
          <w:bCs/>
          <w:color w:val="000000"/>
          <w:kern w:val="2"/>
          <w:sz w:val="32"/>
          <w:szCs w:val="32"/>
          <w:highlight w:val="none"/>
          <w:shd w:val="clear" w:color="auto" w:fill="FFFFFF"/>
          <w:lang w:val="en-US" w:eastAsia="zh-CN" w:bidi="ar-SA"/>
        </w:rPr>
        <w:t>（六）预算绩效目标说明：</w:t>
      </w:r>
      <w:r>
        <w:rPr>
          <w:rFonts w:hint="eastAsia" w:ascii="仿宋" w:hAnsi="仿宋" w:eastAsia="仿宋" w:cs="仿宋"/>
          <w:color w:val="000000"/>
          <w:kern w:val="2"/>
          <w:sz w:val="32"/>
          <w:szCs w:val="32"/>
          <w:highlight w:val="none"/>
          <w:shd w:val="clear" w:color="auto" w:fill="FFFFFF"/>
          <w:lang w:val="en-US" w:eastAsia="zh-CN" w:bidi="ar-SA"/>
        </w:rPr>
        <w:t>本部门所有支出实行绩效目标管理。纳入2024年部门整体支出绩效目标的金额为249.66万元，其中，基本支出179.26万元，项目支出70.4万元，具体绩效目标详见文尾附表中部门预算公开表21-22表</w:t>
      </w:r>
      <w:r>
        <w:rPr>
          <w:rFonts w:hint="eastAsia" w:ascii="仿宋" w:hAnsi="仿宋" w:eastAsia="仿宋" w:cs="仿宋"/>
          <w:color w:val="000000"/>
          <w:kern w:val="2"/>
          <w:sz w:val="32"/>
          <w:szCs w:val="32"/>
          <w:shd w:val="clear" w:color="auto" w:fill="FFFFFF"/>
          <w:lang w:val="en-US" w:eastAsia="zh-CN" w:bidi="ar-SA"/>
        </w:rPr>
        <w:t>。</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七、名词解释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 w:hAnsi="仿宋" w:eastAsia="仿宋" w:cs="仿宋"/>
          <w:color w:val="000000"/>
          <w:kern w:val="2"/>
          <w:sz w:val="32"/>
          <w:szCs w:val="32"/>
          <w:shd w:val="clear" w:color="auto" w:fill="FFFFFF"/>
          <w:lang w:val="en-US" w:eastAsia="zh-CN" w:bidi="ar-SA"/>
        </w:rPr>
      </w:pPr>
      <w:r>
        <w:rPr>
          <w:rFonts w:hint="eastAsia" w:ascii="楷体" w:hAnsi="楷体" w:eastAsia="楷体" w:cs="楷体"/>
          <w:b/>
          <w:bCs/>
          <w:color w:val="000000"/>
          <w:kern w:val="2"/>
          <w:sz w:val="32"/>
          <w:szCs w:val="32"/>
          <w:shd w:val="clear" w:color="auto" w:fill="FFFFFF"/>
          <w:lang w:val="en-US" w:eastAsia="zh-CN" w:bidi="ar-SA"/>
        </w:rPr>
        <w:t>1．机关运行经费：</w:t>
      </w:r>
      <w:r>
        <w:rPr>
          <w:rFonts w:hint="eastAsia" w:ascii="仿宋" w:hAnsi="仿宋" w:eastAsia="仿宋" w:cs="仿宋"/>
          <w:color w:val="000000"/>
          <w:kern w:val="2"/>
          <w:sz w:val="32"/>
          <w:szCs w:val="32"/>
          <w:shd w:val="clear" w:color="auto" w:fill="FFFFFF"/>
          <w:lang w:val="en-US" w:eastAsia="zh-CN" w:bidi="ar-SA"/>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 w:hAnsi="仿宋" w:eastAsia="仿宋" w:cs="仿宋"/>
          <w:color w:val="000000"/>
          <w:kern w:val="2"/>
          <w:sz w:val="32"/>
          <w:szCs w:val="32"/>
          <w:shd w:val="clear" w:color="auto" w:fill="FFFFFF"/>
          <w:lang w:val="en-US" w:eastAsia="zh-CN" w:bidi="ar-SA"/>
        </w:rPr>
      </w:pPr>
      <w:r>
        <w:rPr>
          <w:rFonts w:hint="eastAsia" w:ascii="楷体" w:hAnsi="楷体" w:eastAsia="楷体" w:cs="楷体"/>
          <w:b/>
          <w:bCs/>
          <w:color w:val="000000"/>
          <w:kern w:val="2"/>
          <w:sz w:val="32"/>
          <w:szCs w:val="32"/>
          <w:shd w:val="clear" w:color="auto" w:fill="FFFFFF"/>
          <w:lang w:val="en-US" w:eastAsia="zh-CN" w:bidi="ar-SA"/>
        </w:rPr>
        <w:t>2．“三公”经费：</w:t>
      </w:r>
      <w:r>
        <w:rPr>
          <w:rFonts w:hint="eastAsia" w:ascii="仿宋" w:hAnsi="仿宋" w:eastAsia="仿宋" w:cs="仿宋"/>
          <w:color w:val="000000"/>
          <w:kern w:val="2"/>
          <w:sz w:val="32"/>
          <w:szCs w:val="32"/>
          <w:shd w:val="clear" w:color="auto" w:fill="FFFFFF"/>
          <w:lang w:val="en-US" w:eastAsia="zh-CN" w:bidi="ar-SA"/>
        </w:rPr>
        <w:t>纳入省（市/县）财政预算管理的“三公</w:t>
      </w:r>
      <w:r>
        <w:rPr>
          <w:rFonts w:hint="eastAsia" w:ascii="楷体" w:hAnsi="楷体" w:eastAsia="楷体" w:cs="楷体"/>
          <w:b w:val="0"/>
          <w:bCs w:val="0"/>
          <w:color w:val="000000"/>
          <w:kern w:val="2"/>
          <w:sz w:val="32"/>
          <w:szCs w:val="32"/>
          <w:shd w:val="clear" w:color="auto" w:fill="FFFFFF"/>
          <w:lang w:val="en-US" w:eastAsia="zh-CN" w:bidi="ar-SA"/>
        </w:rPr>
        <w:t>”</w:t>
      </w:r>
      <w:r>
        <w:rPr>
          <w:rFonts w:hint="eastAsia" w:ascii="仿宋" w:hAnsi="仿宋" w:eastAsia="仿宋" w:cs="仿宋"/>
          <w:color w:val="000000"/>
          <w:kern w:val="2"/>
          <w:sz w:val="32"/>
          <w:szCs w:val="32"/>
          <w:shd w:val="clear" w:color="auto" w:fill="FFFFFF"/>
          <w:lang w:val="en-US" w:eastAsia="zh-CN" w:bidi="ar-SA"/>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pPr>
        <w:widowControl/>
        <w:jc w:val="center"/>
        <w:rPr>
          <w:rFonts w:hint="eastAsia" w:ascii="仿宋" w:hAnsi="仿宋" w:eastAsia="仿宋" w:cs="仿宋"/>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pStyle w:val="2"/>
        <w:rPr>
          <w:rFonts w:hint="eastAsia" w:ascii="方正小标宋简体" w:hAnsi="Times New Roman" w:eastAsia="方正小标宋简体" w:cs="Times New Roman"/>
          <w:b/>
          <w:bCs/>
          <w:kern w:val="0"/>
          <w:sz w:val="36"/>
          <w:szCs w:val="36"/>
        </w:rPr>
      </w:pPr>
    </w:p>
    <w:p>
      <w:pPr>
        <w:pStyle w:val="2"/>
        <w:rPr>
          <w:rFonts w:hint="eastAsia" w:ascii="方正小标宋简体" w:hAnsi="Times New Roman" w:eastAsia="方正小标宋简体" w:cs="Times New Roman"/>
          <w:b/>
          <w:bCs/>
          <w:kern w:val="0"/>
          <w:sz w:val="36"/>
          <w:szCs w:val="36"/>
        </w:rPr>
      </w:pPr>
    </w:p>
    <w:p>
      <w:pPr>
        <w:pStyle w:val="2"/>
        <w:rPr>
          <w:rFonts w:hint="eastAsia" w:ascii="方正小标宋简体" w:hAnsi="Times New Roman" w:eastAsia="方正小标宋简体" w:cs="Times New Roman"/>
          <w:b/>
          <w:bCs/>
          <w:kern w:val="0"/>
          <w:sz w:val="36"/>
          <w:szCs w:val="36"/>
        </w:rPr>
      </w:pPr>
    </w:p>
    <w:p>
      <w:pPr>
        <w:pStyle w:val="2"/>
        <w:rPr>
          <w:rFonts w:hint="eastAsia" w:ascii="方正小标宋简体" w:hAnsi="Times New Roman" w:eastAsia="方正小标宋简体" w:cs="Times New Roman"/>
          <w:b/>
          <w:bCs/>
          <w:kern w:val="0"/>
          <w:sz w:val="36"/>
          <w:szCs w:val="36"/>
        </w:rPr>
      </w:pPr>
    </w:p>
    <w:p>
      <w:pPr>
        <w:pStyle w:val="2"/>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bookmarkStart w:id="5" w:name="_GoBack"/>
      <w:bookmarkEnd w:id="5"/>
      <w:r>
        <w:rPr>
          <w:rFonts w:hint="eastAsia" w:ascii="方正小标宋简体" w:hAnsi="Times New Roman" w:eastAsia="方正小标宋简体" w:cs="Times New Roman"/>
          <w:b/>
          <w:bCs/>
          <w:kern w:val="0"/>
          <w:sz w:val="36"/>
          <w:szCs w:val="36"/>
        </w:rPr>
        <w:t>第二部分  2024年部门预算公开表格</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p>
    <w:p>
      <w:pPr>
        <w:spacing w:line="570" w:lineRule="atLeas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1、收支总表</w:t>
      </w:r>
    </w:p>
    <w:p>
      <w:pPr>
        <w:spacing w:line="570" w:lineRule="atLeas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2、收入总表</w:t>
      </w:r>
    </w:p>
    <w:p>
      <w:pPr>
        <w:spacing w:line="570" w:lineRule="atLeas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3、支出总表</w:t>
      </w:r>
    </w:p>
    <w:p>
      <w:pPr>
        <w:spacing w:line="570" w:lineRule="atLeas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4、支出预算分类汇总表（按政府预算经济分类）</w:t>
      </w:r>
    </w:p>
    <w:p>
      <w:pPr>
        <w:spacing w:line="570" w:lineRule="atLeas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5、支出预算分类汇总表（按部门预算经济分类）</w:t>
      </w:r>
    </w:p>
    <w:p>
      <w:pPr>
        <w:spacing w:line="570" w:lineRule="atLeas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6、财政拨款收支总表</w:t>
      </w:r>
    </w:p>
    <w:p>
      <w:pPr>
        <w:spacing w:line="570" w:lineRule="atLeas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7、一般公共预算支出表</w:t>
      </w:r>
    </w:p>
    <w:p>
      <w:pPr>
        <w:spacing w:line="570" w:lineRule="atLeas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14、一般公共预算“三公”经费支出表</w:t>
      </w:r>
    </w:p>
    <w:p>
      <w:pPr>
        <w:spacing w:line="570" w:lineRule="atLeas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15、政府性基金预算支出表</w:t>
      </w:r>
    </w:p>
    <w:p>
      <w:pPr>
        <w:spacing w:line="570" w:lineRule="atLeas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18、国有资本经营预算支出表</w:t>
      </w:r>
    </w:p>
    <w:p>
      <w:pPr>
        <w:spacing w:line="570" w:lineRule="atLeas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19、财政专户管理资金预算支出表</w:t>
      </w:r>
    </w:p>
    <w:p>
      <w:pPr>
        <w:spacing w:line="570" w:lineRule="atLeas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20、专项资金预算汇总表</w:t>
      </w:r>
    </w:p>
    <w:p>
      <w:pPr>
        <w:spacing w:line="570" w:lineRule="atLeas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21、项目支出绩效目标表</w:t>
      </w:r>
    </w:p>
    <w:p>
      <w:pPr>
        <w:spacing w:line="570" w:lineRule="atLeas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22、部门整体支出绩效目标表</w:t>
      </w:r>
    </w:p>
    <w:p>
      <w:pPr>
        <w:spacing w:line="570" w:lineRule="atLeas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23、一般公共预算基本支出表</w:t>
      </w:r>
    </w:p>
    <w:p>
      <w:pPr>
        <w:spacing w:line="570" w:lineRule="atLeas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注：以上部门预算公开报表中，空表表示本部门无相关收支情况。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 w:hAnsi="仿宋" w:eastAsia="仿宋" w:cs="仿宋"/>
          <w:color w:val="000000"/>
          <w:kern w:val="2"/>
          <w:sz w:val="32"/>
          <w:szCs w:val="32"/>
          <w:shd w:val="clear" w:color="auto" w:fill="FFFFFF"/>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 w:hAnsi="仿宋" w:eastAsia="仿宋" w:cs="仿宋"/>
          <w:color w:val="000000"/>
          <w:kern w:val="2"/>
          <w:sz w:val="32"/>
          <w:szCs w:val="32"/>
          <w:shd w:val="clear" w:color="auto" w:fill="FFFFFF"/>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b/>
          <w:bCs/>
          <w:color w:val="000000"/>
          <w:kern w:val="2"/>
          <w:sz w:val="32"/>
          <w:szCs w:val="32"/>
          <w:shd w:val="clear" w:color="auto" w:fill="FFFFFF"/>
          <w:lang w:val="en-US" w:eastAsia="zh-CN" w:bidi="ar-SA"/>
        </w:rPr>
        <w:t>附件：中共岳阳市君山区委巡察工作领导小组办公室2024年部门预算公开表</w:t>
      </w:r>
    </w:p>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204088-F975-4BA3-A9C4-AF14DFF12B2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script"/>
    <w:pitch w:val="default"/>
    <w:sig w:usb0="00000000" w:usb1="00000000" w:usb2="00000000" w:usb3="00000000" w:csb0="00040000" w:csb1="00000000"/>
    <w:embedRegular r:id="rId2" w:fontKey="{2A1C491E-3AB4-49EE-B210-F3B30C8653CC}"/>
  </w:font>
  <w:font w:name="仿宋_GB2312">
    <w:panose1 w:val="02010609030101010101"/>
    <w:charset w:val="86"/>
    <w:family w:val="modern"/>
    <w:pitch w:val="default"/>
    <w:sig w:usb0="00000001" w:usb1="080E0000" w:usb2="00000000" w:usb3="00000000" w:csb0="00040000" w:csb1="00000000"/>
    <w:embedRegular r:id="rId3" w:fontKey="{2B291499-C4C7-4340-839A-1859E6FF74DA}"/>
  </w:font>
  <w:font w:name="方正小标宋_GBK">
    <w:altName w:val="微软雅黑"/>
    <w:panose1 w:val="03000509000000000000"/>
    <w:charset w:val="86"/>
    <w:family w:val="script"/>
    <w:pitch w:val="default"/>
    <w:sig w:usb0="00000000" w:usb1="00000000" w:usb2="00000000" w:usb3="00000000" w:csb0="00040000" w:csb1="00000000"/>
    <w:embedRegular r:id="rId4" w:fontKey="{023EA699-4764-49E0-A004-3D58A52FBC35}"/>
  </w:font>
  <w:font w:name="楷体">
    <w:panose1 w:val="02010609060101010101"/>
    <w:charset w:val="86"/>
    <w:family w:val="auto"/>
    <w:pitch w:val="default"/>
    <w:sig w:usb0="800002BF" w:usb1="38CF7CFA" w:usb2="00000016" w:usb3="00000000" w:csb0="00040001" w:csb1="00000000"/>
    <w:embedRegular r:id="rId5" w:fontKey="{C97EAFA1-4376-426E-9E9F-CF55B680CD92}"/>
  </w:font>
  <w:font w:name="仿宋">
    <w:panose1 w:val="02010609060101010101"/>
    <w:charset w:val="86"/>
    <w:family w:val="auto"/>
    <w:pitch w:val="default"/>
    <w:sig w:usb0="800002BF" w:usb1="38CF7CFA" w:usb2="00000016" w:usb3="00000000" w:csb0="00040001" w:csb1="00000000"/>
    <w:embedRegular r:id="rId6" w:fontKey="{80B19033-53DB-48D8-B538-F8DD2189D5B9}"/>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MzkxYTllNGUzYWMwZmMyNjFiNTViYzNiYzdlYTAifQ=="/>
  </w:docVars>
  <w:rsids>
    <w:rsidRoot w:val="637274E6"/>
    <w:rsid w:val="01B464A4"/>
    <w:rsid w:val="04701B29"/>
    <w:rsid w:val="0992531D"/>
    <w:rsid w:val="0A0D382D"/>
    <w:rsid w:val="0AD656DD"/>
    <w:rsid w:val="0D8D68F1"/>
    <w:rsid w:val="0E4B58DB"/>
    <w:rsid w:val="0ED939EE"/>
    <w:rsid w:val="0F1663CA"/>
    <w:rsid w:val="13385187"/>
    <w:rsid w:val="167C1082"/>
    <w:rsid w:val="16B94831"/>
    <w:rsid w:val="17872239"/>
    <w:rsid w:val="1B156429"/>
    <w:rsid w:val="1C744CBF"/>
    <w:rsid w:val="1F5844BB"/>
    <w:rsid w:val="200307FA"/>
    <w:rsid w:val="20A420AE"/>
    <w:rsid w:val="213E1D14"/>
    <w:rsid w:val="22CB72A5"/>
    <w:rsid w:val="230C7214"/>
    <w:rsid w:val="23C47ABA"/>
    <w:rsid w:val="264178B0"/>
    <w:rsid w:val="29580C34"/>
    <w:rsid w:val="29BB4ABF"/>
    <w:rsid w:val="29EC6874"/>
    <w:rsid w:val="2BF01473"/>
    <w:rsid w:val="2D6329A9"/>
    <w:rsid w:val="2E497DF1"/>
    <w:rsid w:val="2EF502C5"/>
    <w:rsid w:val="305B1762"/>
    <w:rsid w:val="305B3D34"/>
    <w:rsid w:val="305C2E10"/>
    <w:rsid w:val="324A2389"/>
    <w:rsid w:val="325B00F2"/>
    <w:rsid w:val="328F1D91"/>
    <w:rsid w:val="32982A78"/>
    <w:rsid w:val="32C66482"/>
    <w:rsid w:val="35683252"/>
    <w:rsid w:val="35D63F1B"/>
    <w:rsid w:val="361C522A"/>
    <w:rsid w:val="36BE748E"/>
    <w:rsid w:val="372419C7"/>
    <w:rsid w:val="38C2711D"/>
    <w:rsid w:val="39172387"/>
    <w:rsid w:val="3951638D"/>
    <w:rsid w:val="3A242018"/>
    <w:rsid w:val="3BDE696C"/>
    <w:rsid w:val="3F116709"/>
    <w:rsid w:val="3F150D8C"/>
    <w:rsid w:val="403F2E01"/>
    <w:rsid w:val="40D12460"/>
    <w:rsid w:val="44C24001"/>
    <w:rsid w:val="4555609A"/>
    <w:rsid w:val="472745EF"/>
    <w:rsid w:val="47E411CF"/>
    <w:rsid w:val="490966A2"/>
    <w:rsid w:val="49B605D8"/>
    <w:rsid w:val="4AD36F68"/>
    <w:rsid w:val="4ADD73C0"/>
    <w:rsid w:val="4BC03402"/>
    <w:rsid w:val="4DBF1A26"/>
    <w:rsid w:val="4EE728E7"/>
    <w:rsid w:val="51066F16"/>
    <w:rsid w:val="51B004D2"/>
    <w:rsid w:val="52241F08"/>
    <w:rsid w:val="54244912"/>
    <w:rsid w:val="56301712"/>
    <w:rsid w:val="574216FD"/>
    <w:rsid w:val="576A0C54"/>
    <w:rsid w:val="58A12453"/>
    <w:rsid w:val="5A380B96"/>
    <w:rsid w:val="5CFA0384"/>
    <w:rsid w:val="5D647EF4"/>
    <w:rsid w:val="5DE306BB"/>
    <w:rsid w:val="5EF81805"/>
    <w:rsid w:val="5F3F29C6"/>
    <w:rsid w:val="620D5855"/>
    <w:rsid w:val="637274E6"/>
    <w:rsid w:val="63894210"/>
    <w:rsid w:val="63CB65D6"/>
    <w:rsid w:val="64C7681D"/>
    <w:rsid w:val="662F72F1"/>
    <w:rsid w:val="66B263EF"/>
    <w:rsid w:val="699874FD"/>
    <w:rsid w:val="6B49147A"/>
    <w:rsid w:val="6C0749A4"/>
    <w:rsid w:val="6C39261C"/>
    <w:rsid w:val="6C5E2742"/>
    <w:rsid w:val="6CB542C8"/>
    <w:rsid w:val="6CC14A1B"/>
    <w:rsid w:val="6CC62031"/>
    <w:rsid w:val="6E1636BE"/>
    <w:rsid w:val="7036127C"/>
    <w:rsid w:val="70AE175A"/>
    <w:rsid w:val="721F6E5B"/>
    <w:rsid w:val="72860C2E"/>
    <w:rsid w:val="728C4B01"/>
    <w:rsid w:val="729A1F96"/>
    <w:rsid w:val="72CB6F9E"/>
    <w:rsid w:val="739C7F8F"/>
    <w:rsid w:val="73BE1EBD"/>
    <w:rsid w:val="742F491F"/>
    <w:rsid w:val="78CC0C1A"/>
    <w:rsid w:val="791A5BDE"/>
    <w:rsid w:val="7AED5135"/>
    <w:rsid w:val="7AFB04E9"/>
    <w:rsid w:val="7C9338B5"/>
    <w:rsid w:val="7EBE5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spacing w:beforeLines="0" w:afterLines="0"/>
      <w:jc w:val="left"/>
    </w:pPr>
    <w:rPr>
      <w:rFonts w:hint="eastAsia"/>
      <w:sz w:val="21"/>
      <w:szCs w:val="24"/>
    </w:rPr>
  </w:style>
  <w:style w:type="paragraph" w:styleId="3">
    <w:name w:val="Normal Indent"/>
    <w:basedOn w:val="1"/>
    <w:qFormat/>
    <w:uiPriority w:val="0"/>
    <w:pPr>
      <w:ind w:firstLine="420"/>
    </w:pPr>
    <w:rPr>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Book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5910;&#20837;&#39044;&#31639;&#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收入预算图</a:t>
            </a:r>
          </a:p>
        </c:rich>
      </c:tx>
      <c:layout/>
      <c:overlay val="0"/>
    </c:title>
    <c:autoTitleDeleted val="0"/>
    <c:plotArea>
      <c:layout/>
      <c:pieChart>
        <c:varyColors val="1"/>
        <c:ser>
          <c:idx val="0"/>
          <c:order val="0"/>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[Book1.xlsx]Sheet1!$A$6</c:f>
              <c:strCache>
                <c:ptCount val="1"/>
                <c:pt idx="0">
                  <c:v>一般公共预算拨款收入</c:v>
                </c:pt>
              </c:strCache>
            </c:strRef>
          </c:cat>
          <c:val>
            <c:numRef>
              <c:f>[Book1.xlsx]Sheet1!$A$7</c:f>
              <c:numCache>
                <c:formatCode>0%</c:formatCode>
                <c:ptCount val="1"/>
                <c:pt idx="0">
                  <c:v>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700737532808399"/>
          <c:y val="0.0547878390201225"/>
          <c:w val="0.236068022747157"/>
          <c:h val="0.30709098862642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r>
              <a:t>支出预算图</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115753557121149"/>
          <c:y val="0.365522640710961"/>
          <c:w val="0.826511949164249"/>
          <c:h val="0.612797291578502"/>
        </c:manualLayout>
      </c:layout>
      <c:pie3DChart>
        <c:varyColors val="1"/>
        <c:ser>
          <c:idx val="0"/>
          <c:order val="0"/>
          <c:spPr>
            <a:scene3d>
              <a:camera prst="orthographicFront"/>
              <a:lightRig rig="threePt" dir="t"/>
            </a:scene3d>
            <a:sp3d contourW="9525"/>
          </c:spPr>
          <c:explosion val="0"/>
          <c:dPt>
            <c:idx val="0"/>
            <c:bubble3D val="0"/>
            <c:spPr>
              <a:gradFill>
                <a:gsLst>
                  <a:gs pos="100000">
                    <a:schemeClr val="accent1"/>
                  </a:gs>
                  <a:gs pos="0">
                    <a:schemeClr val="accent1">
                      <a:hueOff val="-1670000"/>
                    </a:schemeClr>
                  </a:gs>
                </a:gsLst>
                <a:lin ang="5400000" scaled="0"/>
              </a:gradFill>
              <a:ln>
                <a:gradFill>
                  <a:gsLst>
                    <a:gs pos="100000">
                      <a:schemeClr val="accent1">
                        <a:lumMod val="75000"/>
                      </a:schemeClr>
                    </a:gs>
                    <a:gs pos="0">
                      <a:schemeClr val="accent1">
                        <a:lumMod val="75000"/>
                        <a:hueOff val="-1670000"/>
                      </a:schemeClr>
                    </a:gs>
                  </a:gsLst>
                  <a:lin ang="4620000" scaled="0"/>
                </a:gradFill>
              </a:ln>
              <a:effectLst/>
            </c:spPr>
          </c:dPt>
          <c:dPt>
            <c:idx val="1"/>
            <c:bubble3D val="0"/>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dPt>
          <c:dPt>
            <c:idx val="2"/>
            <c:bubble3D val="0"/>
            <c:spPr>
              <a:gradFill>
                <a:gsLst>
                  <a:gs pos="100000">
                    <a:schemeClr val="accent3"/>
                  </a:gs>
                  <a:gs pos="0">
                    <a:schemeClr val="accent3">
                      <a:hueOff val="-1670000"/>
                    </a:schemeClr>
                  </a:gs>
                </a:gsLst>
                <a:lin ang="5400000" scaled="0"/>
              </a:gradFill>
              <a:ln>
                <a:gradFill>
                  <a:gsLst>
                    <a:gs pos="100000">
                      <a:schemeClr val="accent3">
                        <a:lumMod val="75000"/>
                      </a:schemeClr>
                    </a:gs>
                    <a:gs pos="0">
                      <a:schemeClr val="accent3">
                        <a:lumMod val="75000"/>
                        <a:hueOff val="-1670000"/>
                      </a:schemeClr>
                    </a:gs>
                  </a:gsLst>
                  <a:lin ang="4620000" scaled="0"/>
                </a:gradFill>
              </a:ln>
              <a:effectLst/>
            </c:spPr>
          </c:dPt>
          <c:dPt>
            <c:idx val="3"/>
            <c:bubble3D val="0"/>
            <c:spPr>
              <a:gradFill>
                <a:gsLst>
                  <a:gs pos="100000">
                    <a:schemeClr val="accent4"/>
                  </a:gs>
                  <a:gs pos="0">
                    <a:schemeClr val="accent4">
                      <a:hueOff val="-1670000"/>
                    </a:schemeClr>
                  </a:gs>
                </a:gsLst>
                <a:lin ang="5400000" scaled="0"/>
              </a:gradFill>
              <a:ln>
                <a:gradFill>
                  <a:gsLst>
                    <a:gs pos="100000">
                      <a:schemeClr val="accent4">
                        <a:lumMod val="75000"/>
                      </a:schemeClr>
                    </a:gs>
                    <a:gs pos="0">
                      <a:schemeClr val="accent4">
                        <a:lumMod val="75000"/>
                        <a:hueOff val="-1670000"/>
                      </a:schemeClr>
                    </a:gs>
                  </a:gsLst>
                  <a:lin ang="4620000" scaled="0"/>
                </a:gradFill>
              </a:ln>
              <a:effectLst/>
            </c:spPr>
          </c:dPt>
          <c:dPt>
            <c:idx val="4"/>
            <c:bubble3D val="0"/>
            <c:spPr>
              <a:gradFill>
                <a:gsLst>
                  <a:gs pos="100000">
                    <a:schemeClr val="accent5"/>
                  </a:gs>
                  <a:gs pos="0">
                    <a:schemeClr val="accent5">
                      <a:hueOff val="-1670000"/>
                    </a:schemeClr>
                  </a:gs>
                </a:gsLst>
                <a:lin ang="5400000" scaled="0"/>
              </a:gradFill>
              <a:ln>
                <a:gradFill>
                  <a:gsLst>
                    <a:gs pos="100000">
                      <a:schemeClr val="accent5">
                        <a:lumMod val="75000"/>
                      </a:schemeClr>
                    </a:gs>
                    <a:gs pos="0">
                      <a:schemeClr val="accent5">
                        <a:lumMod val="75000"/>
                        <a:hueOff val="-1670000"/>
                      </a:schemeClr>
                    </a:gs>
                  </a:gsLst>
                  <a:lin ang="4620000" scaled="0"/>
                </a:gradFill>
              </a:ln>
              <a:effectLst/>
              <a:scene3d>
                <a:camera prst="orthographicFront"/>
                <a:lightRig rig="threePt" dir="t"/>
              </a:scene3d>
              <a:sp3d contourW="9525"/>
            </c:spPr>
          </c:dPt>
          <c:dLbls>
            <c:dLbl>
              <c:idx val="0"/>
              <c:layout>
                <c:manualLayout>
                  <c:x val="-0.21860634472714"/>
                  <c:y val="-0.0260843754663791"/>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92287838975576"/>
                  <c:y val="0.0165572784738961"/>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07291854650271"/>
                  <c:y val="-0.116992867790304"/>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432334484273819"/>
                  <c:y val="0.156968811849895"/>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outEnd"/>
            <c:showLegendKey val="0"/>
            <c:showVal val="0"/>
            <c:showCatName val="1"/>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a:solidFill>
                        <a:schemeClr val="dk1">
                          <a:lumMod val="35000"/>
                          <a:lumOff val="65000"/>
                        </a:schemeClr>
                      </a:solidFill>
                    </a:ln>
                    <a:effectLst/>
                  </c:spPr>
                </c15:leaderLines>
              </c:ext>
            </c:extLst>
          </c:dLbls>
          <c:cat>
            <c:strRef>
              <c:f>[收入预算图.xlsx]Sheet1!$B$2:$B$6</c:f>
              <c:strCache>
                <c:ptCount val="5"/>
                <c:pt idx="0">
                  <c:v>社会保障和就业支出</c:v>
                </c:pt>
                <c:pt idx="1">
                  <c:v>卫生健康支出</c:v>
                </c:pt>
                <c:pt idx="3">
                  <c:v>住房保障支出</c:v>
                </c:pt>
                <c:pt idx="4">
                  <c:v>一般公共服务支出</c:v>
                </c:pt>
              </c:strCache>
            </c:strRef>
          </c:cat>
          <c:val>
            <c:numRef>
              <c:f>[收入预算图.xlsx]Sheet1!$C$2:$C$6</c:f>
              <c:numCache>
                <c:formatCode>0.00%</c:formatCode>
                <c:ptCount val="5"/>
                <c:pt idx="0">
                  <c:v>0.0706</c:v>
                </c:pt>
                <c:pt idx="1">
                  <c:v>0.031</c:v>
                </c:pt>
                <c:pt idx="3">
                  <c:v>0.0517</c:v>
                </c:pt>
                <c:pt idx="4">
                  <c:v>0.8467</c:v>
                </c:pt>
              </c:numCache>
            </c:numRef>
          </c:val>
        </c:ser>
        <c:dLbls>
          <c:showLegendKey val="0"/>
          <c:showVal val="0"/>
          <c:showCatName val="1"/>
          <c:showSerName val="0"/>
          <c:showPercent val="1"/>
          <c:showBubbleSize val="0"/>
        </c:dLbls>
      </c:pie3D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7">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3812</Words>
  <Characters>4084</Characters>
  <Lines>0</Lines>
  <Paragraphs>0</Paragraphs>
  <TotalTime>8</TotalTime>
  <ScaleCrop>false</ScaleCrop>
  <LinksUpToDate>false</LinksUpToDate>
  <CharactersWithSpaces>4090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2024-05-22T14:39:00Z</dcterms:created>
  <dc:creator>dell</dc:creator>
  <cp:lastModifiedBy>Administrator</cp:lastModifiedBy>
  <dcterms:modified xsi:type="dcterms:W3CDTF">2024-06-20T09:56:30Z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FEF0AC1CEBCB48A6916962F1FCDD51C4_13</vt:lpwstr>
  </property>
</Properties>
</file>