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市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君山区市场监督管理局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  <w:r>
        <w:rPr>
          <w:rFonts w:hint="eastAsia" w:eastAsia="仿宋_GB2312"/>
          <w:sz w:val="32"/>
          <w:szCs w:val="32"/>
          <w:lang w:eastAsia="zh-CN"/>
        </w:rPr>
        <w:t>（空白无数据）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  <w:r>
        <w:rPr>
          <w:rFonts w:hint="eastAsia" w:eastAsia="仿宋_GB2312"/>
          <w:sz w:val="32"/>
          <w:szCs w:val="32"/>
          <w:lang w:eastAsia="zh-CN"/>
        </w:rPr>
        <w:t>（空白无数据）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  <w:r>
        <w:rPr>
          <w:rFonts w:hint="eastAsia" w:eastAsia="仿宋_GB2312"/>
          <w:sz w:val="32"/>
          <w:szCs w:val="32"/>
          <w:lang w:eastAsia="zh-CN"/>
        </w:rPr>
        <w:t>（空白无数据）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  <w:r>
        <w:rPr>
          <w:rFonts w:hint="eastAsia" w:eastAsia="仿宋_GB2312"/>
          <w:sz w:val="32"/>
          <w:szCs w:val="32"/>
          <w:lang w:eastAsia="zh-CN"/>
        </w:rPr>
        <w:t>（空白无数据）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  <w:r>
        <w:rPr>
          <w:rFonts w:hint="eastAsia" w:eastAsia="仿宋_GB2312"/>
          <w:sz w:val="32"/>
          <w:szCs w:val="32"/>
          <w:lang w:eastAsia="zh-CN"/>
        </w:rPr>
        <w:t>（空白无数据）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  <w:r>
        <w:rPr>
          <w:rFonts w:hint="eastAsia" w:eastAsia="仿宋_GB2312"/>
          <w:sz w:val="32"/>
          <w:szCs w:val="32"/>
          <w:lang w:eastAsia="zh-CN"/>
        </w:rPr>
        <w:t>（空白无数据）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  <w:r>
        <w:rPr>
          <w:rFonts w:hint="eastAsia" w:eastAsia="仿宋_GB2312"/>
          <w:sz w:val="32"/>
          <w:szCs w:val="32"/>
          <w:lang w:eastAsia="zh-CN"/>
        </w:rPr>
        <w:t>（空白无数据）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widowControl/>
        <w:spacing w:line="600" w:lineRule="exact"/>
        <w:ind w:firstLine="630" w:firstLineChars="196"/>
        <w:jc w:val="left"/>
        <w:rPr>
          <w:rFonts w:eastAsia="楷体_GB2312"/>
          <w:b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（一）职能职责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、负责市场综合监督管理。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、负责市场主体统一登记注册工作。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、负责监督管理市场秩序。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、负责宏观质量管理。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、负责产品质量安全监督管理。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、负责特种设备安全监察工作。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、负责食品安全监督管理综合协调。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、负责食品安全监督管理。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、负责统一管理计量工作。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、负责统一管理标准化工作。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、负责市场监督管理科技和信息化建设、新闻宣传、对外交流与合作。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、负责实施知识产权战略，推进知识产权强区建设。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13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、负责保护知识产权。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14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、负责知识产权创造运用。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15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、负责组织开展有关服务领域消费维权工作，查处假冒伪劣等违法行为。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16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、负责药品（含中药、民族药）、医疗器械和化妆品安全监督管理。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17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、监督实施药品、医疗器械、化妆品标准和分类管理制度，配合有关部门实施国家基本药物制度。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18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、负责药品、医疗器械和化妆品质量管理。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19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九、负责药品、医疗器械和化妆品上市后风险管理。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、负责组织实施药品、医疗器械和化妆品监督检查。</w:t>
      </w:r>
    </w:p>
    <w:p>
      <w:pPr>
        <w:ind w:firstLine="600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highlight w:val="yellow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21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、完成区委、区政府交办的其他任务。</w:t>
      </w:r>
    </w:p>
    <w:p>
      <w:pPr>
        <w:widowControl/>
        <w:numPr>
          <w:ilvl w:val="0"/>
          <w:numId w:val="1"/>
        </w:numPr>
        <w:spacing w:line="600" w:lineRule="exact"/>
        <w:ind w:firstLine="630" w:firstLineChars="196"/>
        <w:jc w:val="left"/>
        <w:rPr>
          <w:rFonts w:eastAsia="楷体_GB2312"/>
          <w:b/>
          <w:sz w:val="32"/>
          <w:szCs w:val="32"/>
        </w:rPr>
      </w:pPr>
      <w:r>
        <w:rPr>
          <w:rFonts w:eastAsia="楷体_GB2312"/>
          <w:b/>
          <w:sz w:val="32"/>
          <w:szCs w:val="32"/>
        </w:rPr>
        <w:t>机构设置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岳阳市君山区市场监督管理局</w:t>
      </w:r>
      <w:r>
        <w:rPr>
          <w:rFonts w:hint="eastAsia" w:ascii="仿宋_GB2312" w:hAnsi="仿宋_GB2312" w:eastAsia="仿宋_GB2312" w:cs="仿宋_GB2312"/>
          <w:sz w:val="32"/>
          <w:szCs w:val="32"/>
        </w:rPr>
        <w:t>内设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机构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14个，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内设机构包括：</w:t>
      </w:r>
      <w:r>
        <w:rPr>
          <w:rFonts w:hint="eastAsia" w:ascii="仿宋_GB2312" w:hAnsi="仿宋_GB2312" w:eastAsia="仿宋_GB2312" w:cs="仿宋_GB2312"/>
          <w:sz w:val="32"/>
          <w:szCs w:val="32"/>
        </w:rPr>
        <w:t>办公室、政策法规股、登记注册股、食品安全协调和特殊食品监管股、食品生产经营安全监督管理股、餐饮食品安全监管和抽检监测管理股、药品医疗器械监督管理股、特种设备安全监察股、质量监督标准计量股、市场规范管理股、知识产权权、消费者权益保护股、财务股、人事股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直属</w:t>
      </w:r>
      <w:r>
        <w:rPr>
          <w:rFonts w:hint="eastAsia" w:ascii="仿宋_GB2312" w:hAnsi="仿宋_GB2312" w:eastAsia="仿宋_GB2312" w:cs="仿宋_GB2312"/>
          <w:sz w:val="32"/>
          <w:szCs w:val="32"/>
        </w:rPr>
        <w:t>事业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机构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2个</w:t>
      </w:r>
      <w:r>
        <w:rPr>
          <w:rFonts w:hint="eastAsia" w:ascii="仿宋_GB2312" w:hAnsi="仿宋_GB2312" w:eastAsia="仿宋_GB2312" w:cs="仿宋_GB2312"/>
          <w:sz w:val="32"/>
          <w:szCs w:val="32"/>
        </w:rPr>
        <w:t>，执法大队及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信息中心，</w:t>
      </w:r>
      <w:r>
        <w:rPr>
          <w:rFonts w:hint="eastAsia" w:ascii="仿宋_GB2312" w:hAnsi="仿宋_GB2312" w:eastAsia="仿宋_GB2312" w:cs="仿宋_GB2312"/>
          <w:sz w:val="32"/>
          <w:szCs w:val="32"/>
        </w:rPr>
        <w:t>以镇为单位设立柳林洲、广兴洲、钱粮湖、许市、良心堡5个监管所，全局核定编制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53名</w:t>
      </w:r>
      <w:r>
        <w:rPr>
          <w:rFonts w:hint="eastAsia" w:ascii="仿宋_GB2312" w:hAnsi="仿宋_GB2312" w:eastAsia="仿宋_GB2312" w:cs="仿宋_GB2312"/>
          <w:sz w:val="32"/>
          <w:szCs w:val="32"/>
        </w:rPr>
        <w:t>，现实有在职人员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75</w:t>
      </w:r>
      <w:r>
        <w:rPr>
          <w:rFonts w:hint="eastAsia" w:ascii="仿宋_GB2312" w:hAnsi="仿宋_GB2312" w:eastAsia="仿宋_GB2312" w:cs="仿宋_GB2312"/>
          <w:sz w:val="32"/>
          <w:szCs w:val="32"/>
        </w:rPr>
        <w:t>人,退休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29</w:t>
      </w:r>
      <w:r>
        <w:rPr>
          <w:rFonts w:hint="eastAsia" w:ascii="仿宋_GB2312" w:hAnsi="仿宋_GB2312" w:eastAsia="仿宋_GB2312" w:cs="仿宋_GB2312"/>
          <w:sz w:val="32"/>
          <w:szCs w:val="32"/>
        </w:rPr>
        <w:t>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二、部门预算单位构成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highlight w:val="none"/>
          <w:shd w:val="clear" w:fill="FFFFFF"/>
        </w:rPr>
      </w:pPr>
      <w:bookmarkStart w:id="0" w:name="DEPT_COMPOSE"/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岳阳市君山区市场监督管理局</w:t>
      </w:r>
      <w:r>
        <w:rPr>
          <w:rFonts w:eastAsia="仿宋_GB2312"/>
          <w:sz w:val="32"/>
          <w:szCs w:val="32"/>
        </w:rPr>
        <w:t>部门预算部门只有本级，没有其他预算单位，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因此，纳入2024年部门预算编制范围的只有</w:t>
      </w:r>
      <w:r>
        <w:rPr>
          <w:rFonts w:hint="eastAsia" w:eastAsia="仿宋_GB2312"/>
          <w:sz w:val="32"/>
          <w:szCs w:val="32"/>
        </w:rPr>
        <w:t>岳阳市君山区市场监督管理局</w:t>
      </w:r>
      <w:r>
        <w:rPr>
          <w:rFonts w:eastAsia="仿宋_GB2312"/>
          <w:sz w:val="32"/>
          <w:szCs w:val="32"/>
        </w:rPr>
        <w:t>本级。</w:t>
      </w:r>
      <w:bookmarkEnd w:id="0"/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本部门2024年没有政府性基金预算拨款、国有资本经营预算收入和纳入专户管理的非税收入拨款收入，也没有使用政府性基金预算拨款、国有资本经营预算收入和纳入专户管理的非税收入拨款安排的支出，所以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部门预算公开表10、11、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2"/>
          <w:sz w:val="32"/>
          <w:szCs w:val="32"/>
          <w:highlight w:val="none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部门收入预算1497.69万元，其中，一般公共预算拨款1497.69万元，政府性基金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15-17表为空)，国有资本经营预算资金0.00万元(所以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18表为空)，财政专户管理资金0.00万元(所以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19表为空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)，上级补助收入资金0.00万元，事业单位经营收入资金0.00万元，上年结转结余0.00万元。收入较上年减少133.10万元，下降8.16%。主要原因是2023年有7名工作人员退休，从而导致工资福利支出和商品服务支出减少。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4886325" cy="2667000"/>
            <wp:effectExtent l="6350" t="6350" r="22225" b="1270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leftChars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支出预算1497.69万元，其中：一般公共服务支出1049.56万元，科学技术支出148万元，社会保障和就业支出166.74万元，卫生健康支出50.82万元，住房保障支出82.57万元。支出较上年减少133.10万元，下降8.16%。主要原因是2023年有7名工作人员退休，从而导致工资福利支出和商品服务支出减少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drawing>
          <wp:inline distT="0" distB="0" distL="114300" distR="114300">
            <wp:extent cx="5017770" cy="3016250"/>
            <wp:effectExtent l="0" t="0" r="11430" b="1270"/>
            <wp:docPr id="1" name="图片 1" descr="图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图片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17770" cy="301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一般公共预算拨款支出1497.69万元，其中：一般公共服务支出1049.56万元，占70.08%；科学技术支出148万元，占9.89%；社会保障和就业支出166.74万元，占11.13%；卫生健康支出50.82万元，占3.39%；住房保障支出82.57万元，占5.51%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2024年本部门基本支出预算数1124.89万元，主要是为保障部门正常运转、完成日常工作任务而发生的各项支出，包括用于基本工资、津贴补贴等人员经费以及办公费、印刷费、水电费、办公设备购置等公用经费。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项目支出预算372.8万元，主要是本部门为完成特定工作任务或事业发展目标而发生的支出，包括业务工作经费、食品安全专项支出等，其中：一般公共服务支出224.8万元，主要用于业务工作经费。科学技术支出148万元，主要用于食品安全责任保险、食品及食用农产品抽检、省级食品安全县市区创建方面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2024年度本部门无政府性基金安排的支出，所以公开的附件15-17表（政府性基金预算）为空。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岳阳市君山区市场监督管理局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部门机关运行经费118.55万元，比上年预算下降25.00%。主要原因是7名</w:t>
      </w:r>
      <w:r>
        <w:rPr>
          <w:rFonts w:hint="eastAsia" w:eastAsia="仿宋_GB2312"/>
          <w:sz w:val="32"/>
          <w:szCs w:val="32"/>
          <w:lang w:eastAsia="zh-CN"/>
        </w:rPr>
        <w:t>在职人员退休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，造成公用经费预算减少。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“三公”经费预算数为5万元，其中，公务接待费2万元，公务用车购置及运行费3万元（其中，公务用车购置费0万元，公务用车运行费3万元），因公出国（境）费0万元。2024年“三公”经费预算较2023年减少3万元，主要原因是严格落实中央“八项规定”精神和“过紧日子”的要求，从严控制“三公”经费支出。</w:t>
      </w:r>
      <w:bookmarkStart w:id="1" w:name="END_IS_ZERO_06_1"/>
      <w:bookmarkEnd w:id="1"/>
      <w:bookmarkStart w:id="2" w:name="DIS_MARK_IS_ZERO_06_2"/>
      <w:bookmarkEnd w:id="2"/>
      <w:bookmarkStart w:id="3" w:name="START_IS_ZERO_06_2"/>
      <w:bookmarkEnd w:id="3"/>
      <w:bookmarkStart w:id="4" w:name="END_IS_ZERO_06_2"/>
      <w:bookmarkEnd w:id="4"/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2024年本部门会议费预算0万元，拟召开0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次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会议，人数0人；培训费预算5万元，拟开展3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次市场监督、行政执法等相关的业务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培训，人数500人，内容为授课费、场地租赁费、培训餐费等；2024年度本部门未计划举办节庆、晚会、论坛、赛事活动，经费预算0万元</w:t>
      </w:r>
      <w:bookmarkStart w:id="5" w:name="_GoBack"/>
      <w:bookmarkEnd w:id="5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2024年本部门政府采购预算总额48万元，其中，货物类采购预算0万元；工程类采购预算0万元；服务类采购预算48万元。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部门共有公务用车7辆，其中，机要通信用及应急保障用车1辆，执法执勤用车4辆，特种专业技术用车1辆，其他按照规定配备的公务用车1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本部门所有支出实行绩效目标管理。纳入2024年部门整体支出绩效目标的金额为1497.69万元，其中，基本支出1124.89万元，项目支出372.8万元，具体绩效目标详见文尾附表中部门预算公开表21-22表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  <w:r>
        <w:rPr>
          <w:rFonts w:hint="eastAsia" w:eastAsia="仿宋_GB2312"/>
          <w:sz w:val="32"/>
          <w:szCs w:val="32"/>
          <w:lang w:eastAsia="zh-CN"/>
        </w:rPr>
        <w:t>（空白无数据）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  <w:r>
        <w:rPr>
          <w:rFonts w:hint="eastAsia" w:eastAsia="仿宋_GB2312"/>
          <w:sz w:val="32"/>
          <w:szCs w:val="32"/>
          <w:lang w:eastAsia="zh-CN"/>
        </w:rPr>
        <w:t>（空白无数据）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  <w:r>
        <w:rPr>
          <w:rFonts w:hint="eastAsia" w:eastAsia="仿宋_GB2312"/>
          <w:sz w:val="32"/>
          <w:szCs w:val="32"/>
          <w:lang w:eastAsia="zh-CN"/>
        </w:rPr>
        <w:t>（空白无数据）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  <w:r>
        <w:rPr>
          <w:rFonts w:hint="eastAsia" w:eastAsia="仿宋_GB2312"/>
          <w:sz w:val="32"/>
          <w:szCs w:val="32"/>
          <w:lang w:eastAsia="zh-CN"/>
        </w:rPr>
        <w:t>（空白无数据）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  <w:r>
        <w:rPr>
          <w:rFonts w:hint="eastAsia" w:eastAsia="仿宋_GB2312"/>
          <w:sz w:val="32"/>
          <w:szCs w:val="32"/>
          <w:lang w:eastAsia="zh-CN"/>
        </w:rPr>
        <w:t>（空白无数据）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  <w:r>
        <w:rPr>
          <w:rFonts w:hint="eastAsia" w:eastAsia="仿宋_GB2312"/>
          <w:sz w:val="32"/>
          <w:szCs w:val="32"/>
          <w:lang w:eastAsia="zh-CN"/>
        </w:rPr>
        <w:t>（空白无数据）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  <w:r>
        <w:rPr>
          <w:rFonts w:hint="eastAsia" w:eastAsia="仿宋_GB2312"/>
          <w:sz w:val="32"/>
          <w:szCs w:val="32"/>
          <w:lang w:eastAsia="zh-CN"/>
        </w:rPr>
        <w:t>（空白无数据）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附件：岳阳市君山区市场监督管理局2024年部门预算公开表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DF1542D"/>
    <w:multiLevelType w:val="singleLevel"/>
    <w:tmpl w:val="ADF1542D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MwMmNkMDcwZjcwYzc0YmYxNGM2ODk0OTU4ZWM3ZDYifQ=="/>
  </w:docVars>
  <w:rsids>
    <w:rsidRoot w:val="637274E6"/>
    <w:rsid w:val="054B7AE8"/>
    <w:rsid w:val="0992531D"/>
    <w:rsid w:val="0A0D382D"/>
    <w:rsid w:val="0BDA172B"/>
    <w:rsid w:val="0D8D68F1"/>
    <w:rsid w:val="0E4B58DB"/>
    <w:rsid w:val="0ED939EE"/>
    <w:rsid w:val="0F1663CA"/>
    <w:rsid w:val="13385187"/>
    <w:rsid w:val="167C1082"/>
    <w:rsid w:val="16B94831"/>
    <w:rsid w:val="1A806E1E"/>
    <w:rsid w:val="1B156429"/>
    <w:rsid w:val="1C744CBF"/>
    <w:rsid w:val="1E2B0FAB"/>
    <w:rsid w:val="200307FA"/>
    <w:rsid w:val="20A420AE"/>
    <w:rsid w:val="213E1D14"/>
    <w:rsid w:val="22CB72A5"/>
    <w:rsid w:val="230C7214"/>
    <w:rsid w:val="25964D2E"/>
    <w:rsid w:val="264178B0"/>
    <w:rsid w:val="268C2FD0"/>
    <w:rsid w:val="26972271"/>
    <w:rsid w:val="26BF7C3E"/>
    <w:rsid w:val="29EC6874"/>
    <w:rsid w:val="2BF01473"/>
    <w:rsid w:val="2D6329A9"/>
    <w:rsid w:val="2EF502C5"/>
    <w:rsid w:val="305B1762"/>
    <w:rsid w:val="305B3D34"/>
    <w:rsid w:val="305C2E10"/>
    <w:rsid w:val="324A2389"/>
    <w:rsid w:val="328F1D91"/>
    <w:rsid w:val="32982A78"/>
    <w:rsid w:val="32C66482"/>
    <w:rsid w:val="35683252"/>
    <w:rsid w:val="35D63F1B"/>
    <w:rsid w:val="35DE268D"/>
    <w:rsid w:val="361C522A"/>
    <w:rsid w:val="36BE748E"/>
    <w:rsid w:val="372419C7"/>
    <w:rsid w:val="38C2711D"/>
    <w:rsid w:val="3951638D"/>
    <w:rsid w:val="3A242018"/>
    <w:rsid w:val="3BDE696C"/>
    <w:rsid w:val="3F116709"/>
    <w:rsid w:val="3F150D8C"/>
    <w:rsid w:val="403F2E01"/>
    <w:rsid w:val="44C24001"/>
    <w:rsid w:val="4555609A"/>
    <w:rsid w:val="47E411CF"/>
    <w:rsid w:val="490966A2"/>
    <w:rsid w:val="49B605D8"/>
    <w:rsid w:val="4AD36F68"/>
    <w:rsid w:val="4ADD73C0"/>
    <w:rsid w:val="4BC03402"/>
    <w:rsid w:val="4DBF1A26"/>
    <w:rsid w:val="4EE728E7"/>
    <w:rsid w:val="51066F16"/>
    <w:rsid w:val="51B004D2"/>
    <w:rsid w:val="52241F08"/>
    <w:rsid w:val="54244912"/>
    <w:rsid w:val="56301712"/>
    <w:rsid w:val="574216FD"/>
    <w:rsid w:val="576A0C54"/>
    <w:rsid w:val="58A12453"/>
    <w:rsid w:val="5A310DEE"/>
    <w:rsid w:val="5A380B96"/>
    <w:rsid w:val="5D647EF4"/>
    <w:rsid w:val="5DE306BB"/>
    <w:rsid w:val="5F3F29C6"/>
    <w:rsid w:val="5F630463"/>
    <w:rsid w:val="60F87A70"/>
    <w:rsid w:val="637274E6"/>
    <w:rsid w:val="63894210"/>
    <w:rsid w:val="64C7681D"/>
    <w:rsid w:val="662F72F1"/>
    <w:rsid w:val="66B263EF"/>
    <w:rsid w:val="698959FD"/>
    <w:rsid w:val="6B49147A"/>
    <w:rsid w:val="6C0749A4"/>
    <w:rsid w:val="6C5E2742"/>
    <w:rsid w:val="6CB542C8"/>
    <w:rsid w:val="6CC62031"/>
    <w:rsid w:val="6F894FD4"/>
    <w:rsid w:val="6FA7614A"/>
    <w:rsid w:val="70AE175A"/>
    <w:rsid w:val="721F6E5B"/>
    <w:rsid w:val="72860C2E"/>
    <w:rsid w:val="728C4B01"/>
    <w:rsid w:val="729A1F96"/>
    <w:rsid w:val="739C7F8F"/>
    <w:rsid w:val="73BE1EBD"/>
    <w:rsid w:val="78CC0C1A"/>
    <w:rsid w:val="791A5BDE"/>
    <w:rsid w:val="7AFB04E9"/>
    <w:rsid w:val="7C9338B5"/>
    <w:rsid w:val="7CAF1454"/>
    <w:rsid w:val="7EBE5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3938</Words>
  <Characters>4250</Characters>
  <Lines>0</Lines>
  <Paragraphs>0</Paragraphs>
  <TotalTime>0</TotalTime>
  <ScaleCrop>false</ScaleCrop>
  <LinksUpToDate>false</LinksUpToDate>
  <CharactersWithSpaces>4256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cp:lastPrinted>2024-05-28T02:29:00Z</cp:lastPrinted>
  <dcterms:modified xsi:type="dcterms:W3CDTF">2024-06-26T14:52:04Z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F119F8C4FE564FCE98932CCF45F26C52_13</vt:lpwstr>
  </property>
</Properties>
</file>