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charts/chart1.xml" ContentType="application/vnd.openxmlformats-officedocument.drawingml.chart+xml"/>
  <Override PartName="/word/charts/chart2.xml" ContentType="application/vnd.openxmlformats-officedocument.drawingml.chart+xml"/>
  <Override PartName="/word/charts/colors1.xml" ContentType="application/vnd.ms-office.chartcolorstyle+xml"/>
  <Override PartName="/word/charts/style1.xml" ContentType="application/vnd.ms-office.chartstyle+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eastAsia" w:ascii="方正小标宋简体" w:hAnsi="方正小标宋简体" w:eastAsia="方正小标宋简体" w:cs="方正小标宋简体"/>
          <w:b/>
          <w:bCs/>
          <w:sz w:val="44"/>
          <w:szCs w:val="44"/>
          <w:lang w:val="en-US" w:eastAsia="zh-CN"/>
        </w:rPr>
      </w:pPr>
    </w:p>
    <w:p>
      <w:pPr>
        <w:spacing w:line="570" w:lineRule="atLeast"/>
        <w:jc w:val="center"/>
        <w:rPr>
          <w:rFonts w:hint="default" w:ascii="方正小标宋简体" w:hAnsi="方正小标宋简体" w:eastAsia="方正小标宋简体" w:cs="方正小标宋简体"/>
          <w:b/>
          <w:bCs/>
          <w:sz w:val="44"/>
          <w:szCs w:val="44"/>
          <w:lang w:val="en-US"/>
        </w:rPr>
      </w:pPr>
      <w:r>
        <w:rPr>
          <w:rFonts w:hint="eastAsia" w:ascii="方正小标宋简体" w:hAnsi="方正小标宋简体" w:eastAsia="方正小标宋简体" w:cs="方正小标宋简体"/>
          <w:b/>
          <w:bCs/>
          <w:sz w:val="44"/>
          <w:szCs w:val="44"/>
          <w:lang w:val="en-US" w:eastAsia="zh-CN"/>
        </w:rPr>
        <w:t>岳阳</w:t>
      </w:r>
      <w:r>
        <w:rPr>
          <w:rFonts w:hint="eastAsia" w:ascii="方正小标宋简体" w:hAnsi="方正小标宋简体" w:eastAsia="方正小标宋简体" w:cs="方正小标宋简体"/>
          <w:b/>
          <w:bCs/>
          <w:sz w:val="44"/>
          <w:szCs w:val="44"/>
        </w:rPr>
        <w:t>市</w:t>
      </w:r>
      <w:r>
        <w:rPr>
          <w:rFonts w:hint="eastAsia" w:ascii="方正小标宋简体" w:hAnsi="方正小标宋简体" w:eastAsia="方正小标宋简体" w:cs="方正小标宋简体"/>
          <w:b/>
          <w:bCs/>
          <w:sz w:val="44"/>
          <w:szCs w:val="44"/>
          <w:lang w:val="en-US" w:eastAsia="zh-CN"/>
        </w:rPr>
        <w:t>君山区审计局</w:t>
      </w:r>
    </w:p>
    <w:p>
      <w:pPr>
        <w:spacing w:line="570" w:lineRule="atLeast"/>
        <w:jc w:val="center"/>
        <w:rPr>
          <w:rFonts w:hint="eastAsia" w:ascii="黑体" w:hAnsi="黑体" w:eastAsia="黑体" w:cs="黑体"/>
          <w:b/>
          <w:bCs/>
          <w:sz w:val="48"/>
          <w:szCs w:val="48"/>
        </w:rPr>
      </w:pPr>
      <w:r>
        <w:rPr>
          <w:rFonts w:hint="eastAsia" w:ascii="方正小标宋简体" w:hAnsi="方正小标宋简体" w:eastAsia="方正小标宋简体" w:cs="方正小标宋简体"/>
          <w:b/>
          <w:bCs/>
          <w:sz w:val="44"/>
          <w:szCs w:val="44"/>
        </w:rPr>
        <w:t>2024年部门预算公开</w:t>
      </w:r>
    </w:p>
    <w:p>
      <w:pPr>
        <w:jc w:val="center"/>
        <w:rPr>
          <w:rFonts w:hint="eastAsia"/>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p>
    <w:p>
      <w:pPr>
        <w:widowControl/>
        <w:spacing w:line="570" w:lineRule="atLeast"/>
        <w:jc w:val="both"/>
        <w:rPr>
          <w:rFonts w:hint="eastAsia" w:ascii="Times New Roman" w:hAnsi="Times New Roman" w:eastAsia="黑体" w:cs="Times New Roman"/>
          <w:b/>
          <w:kern w:val="0"/>
          <w:sz w:val="36"/>
          <w:szCs w:val="36"/>
        </w:rPr>
      </w:pPr>
    </w:p>
    <w:p>
      <w:pPr>
        <w:widowControl/>
        <w:spacing w:line="570" w:lineRule="atLeast"/>
        <w:jc w:val="center"/>
        <w:rPr>
          <w:rFonts w:hint="eastAsia" w:ascii="Times New Roman" w:hAnsi="Times New Roman" w:eastAsia="黑体" w:cs="Times New Roman"/>
          <w:b/>
          <w:kern w:val="0"/>
          <w:sz w:val="36"/>
          <w:szCs w:val="36"/>
        </w:rPr>
      </w:pPr>
      <w:r>
        <w:rPr>
          <w:rFonts w:hint="eastAsia" w:ascii="Times New Roman" w:hAnsi="Times New Roman" w:eastAsia="黑体" w:cs="Times New Roman"/>
          <w:b/>
          <w:kern w:val="0"/>
          <w:sz w:val="36"/>
          <w:szCs w:val="36"/>
        </w:rPr>
        <w:t>目 录</w:t>
      </w:r>
    </w:p>
    <w:p>
      <w:pPr>
        <w:widowControl/>
        <w:spacing w:line="570" w:lineRule="atLeast"/>
        <w:ind w:firstLine="630" w:firstLineChars="196"/>
        <w:rPr>
          <w:rFonts w:hint="eastAsia" w:ascii="黑体" w:hAnsi="黑体" w:eastAsia="黑体" w:cs="黑体"/>
          <w:b/>
          <w:bCs/>
          <w:kern w:val="0"/>
          <w:sz w:val="32"/>
          <w:szCs w:val="32"/>
        </w:rPr>
      </w:pPr>
      <w:r>
        <w:rPr>
          <w:rFonts w:hint="eastAsia" w:ascii="黑体" w:hAnsi="黑体" w:eastAsia="黑体" w:cs="黑体"/>
          <w:b/>
          <w:bCs/>
          <w:kern w:val="0"/>
          <w:sz w:val="32"/>
          <w:szCs w:val="32"/>
        </w:rPr>
        <w:t>第一部分 2024年部门预算说明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一、部门基本概况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二、部门预算单位构成</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三、部门收支总体情况</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四、一般公共预算拨款支出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五、政府性基金预算支出</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六、其他重要事项的情况说明</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七、名词解释</w:t>
      </w:r>
    </w:p>
    <w:p>
      <w:pPr>
        <w:ind w:firstLine="643" w:firstLineChars="200"/>
        <w:rPr>
          <w:rFonts w:hint="eastAsia" w:eastAsia="黑体" w:asciiTheme="minorEastAsia" w:hAnsiTheme="minorEastAsia" w:cstheme="minorEastAsia"/>
          <w:sz w:val="28"/>
          <w:szCs w:val="28"/>
          <w:lang w:eastAsia="zh-CN"/>
        </w:rPr>
      </w:pPr>
      <w:r>
        <w:rPr>
          <w:rFonts w:hint="eastAsia" w:ascii="黑体" w:hAnsi="黑体" w:eastAsia="黑体" w:cs="黑体"/>
          <w:b/>
          <w:bCs/>
          <w:kern w:val="0"/>
          <w:sz w:val="32"/>
          <w:szCs w:val="32"/>
        </w:rPr>
        <w:t>第二部分 2024年部门预算表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jc w:val="center"/>
        <w:rPr>
          <w:rFonts w:hint="eastAsia" w:asciiTheme="minorEastAsia" w:hAnsiTheme="minorEastAsia" w:eastAsiaTheme="minorEastAsia" w:cstheme="minorEastAsia"/>
          <w:b/>
          <w:bCs/>
          <w:sz w:val="28"/>
          <w:szCs w:val="28"/>
        </w:rPr>
      </w:pPr>
    </w:p>
    <w:p>
      <w:pPr>
        <w:jc w:val="center"/>
        <w:rPr>
          <w:rFonts w:hint="eastAsia" w:ascii="Times New Roman" w:hAnsi="Times New Roman" w:eastAsia="方正小标宋_GBK" w:cs="Times New Roman"/>
          <w:b/>
          <w:bCs/>
          <w:kern w:val="0"/>
          <w:sz w:val="36"/>
          <w:szCs w:val="36"/>
        </w:rPr>
      </w:pPr>
      <w:r>
        <w:rPr>
          <w:rFonts w:hint="eastAsia" w:ascii="Times New Roman" w:hAnsi="Times New Roman" w:eastAsia="方正小标宋_GBK" w:cs="Times New Roman"/>
          <w:b/>
          <w:bCs/>
          <w:kern w:val="0"/>
          <w:sz w:val="36"/>
          <w:szCs w:val="36"/>
        </w:rPr>
        <w:t>第一部分 部门预算公开说明</w:t>
      </w:r>
    </w:p>
    <w:p>
      <w:pPr>
        <w:widowControl/>
        <w:spacing w:line="570" w:lineRule="atLeast"/>
        <w:ind w:firstLine="643" w:firstLineChars="200"/>
        <w:rPr>
          <w:rFonts w:hint="eastAsia" w:ascii="Times New Roman" w:hAnsi="Times New Roman" w:eastAsia="黑体" w:cs="Times New Roman"/>
          <w:b/>
          <w:bCs/>
          <w:kern w:val="0"/>
          <w:sz w:val="32"/>
          <w:szCs w:val="32"/>
        </w:rPr>
      </w:pP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一、部门基本概况</w:t>
      </w:r>
    </w:p>
    <w:p>
      <w:pPr>
        <w:spacing w:line="570" w:lineRule="atLeast"/>
        <w:ind w:firstLine="643" w:firstLineChars="200"/>
        <w:rPr>
          <w:rFonts w:hint="eastAsia" w:ascii="仿宋_GB2312" w:hAnsi="仿宋_GB2312" w:eastAsia="仿宋_GB2312" w:cs="仿宋_GB2312"/>
          <w:b/>
          <w:bCs/>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（一）职能职责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w:t>
      </w:r>
      <w:r>
        <w:rPr>
          <w:rFonts w:hint="eastAsia" w:ascii="仿宋" w:hAnsi="仿宋" w:eastAsia="仿宋" w:cs="仿宋"/>
          <w:i w:val="0"/>
          <w:iCs w:val="0"/>
          <w:caps w:val="0"/>
          <w:color w:val="333333"/>
          <w:spacing w:val="0"/>
          <w:sz w:val="32"/>
          <w:szCs w:val="32"/>
          <w:shd w:val="clear" w:color="auto" w:fill="FFFFFF"/>
          <w:lang w:val="en-US" w:eastAsia="zh-CN"/>
        </w:rPr>
        <w:t xml:space="preserve">  </w:t>
      </w:r>
      <w:r>
        <w:rPr>
          <w:rFonts w:hint="eastAsia" w:ascii="仿宋" w:hAnsi="仿宋" w:eastAsia="仿宋" w:cs="仿宋"/>
          <w:i w:val="0"/>
          <w:iCs w:val="0"/>
          <w:caps w:val="0"/>
          <w:color w:val="333333"/>
          <w:spacing w:val="0"/>
          <w:sz w:val="32"/>
          <w:szCs w:val="32"/>
          <w:shd w:val="clear" w:color="auto" w:fill="FFFFFF"/>
        </w:rPr>
        <w:t>1、贯彻执行国家、省、市审计方针政策，参与制定本区审计、财政方面的政策，制定审计业务工作规划，并监督执行，组织行业和专项资金的审计或审计调查。</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2、向区政府报告和向区政府有关部门通报审计情况，提出制定和完善有关政策、宏观调控措施的意见和建议。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3、依据《中华人民共和国审计法》的规定，直接进行区本级财政预算执行情况和其他财政收支等八项审计。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4、向区政府提交区本级预算执行情况的审计结果报告，受区政府委托向区人大常委会提出本级预算执行情况和其他财政财务收支审计工作报告。将区财政局的预算执行情况和其他财政收支情况的监督检查职责划入审计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5、组织开展行业审计、专项审计和审计调查，并向上级审计机关、区政府和有关部门反映情况，提出建议。</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6、受区委、区政府委托，依法对党政领导干部和国有企业负责人进行任期经济责任审计。</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7、组织实施对全区内部审计的指导与监督，监督社会审计组织的审计业务质量，组织审计专业培训。</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8、加强区委对审计工作的领导，更好发挥审计监督作用，区委审计委员会办公室设在区审计局，不再保留区领导干部经济责任审计工作领导小组及办公室。</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9、将原发展改革和工业信息化局的重大项目稽查职责划入审计局。</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ascii="仿宋" w:hAnsi="仿宋" w:eastAsia="仿宋" w:cs="仿宋"/>
          <w:sz w:val="32"/>
          <w:szCs w:val="32"/>
        </w:rPr>
      </w:pPr>
      <w:r>
        <w:rPr>
          <w:rFonts w:hint="eastAsia" w:ascii="仿宋" w:hAnsi="仿宋" w:eastAsia="仿宋" w:cs="仿宋"/>
          <w:i w:val="0"/>
          <w:iCs w:val="0"/>
          <w:caps w:val="0"/>
          <w:color w:val="333333"/>
          <w:spacing w:val="0"/>
          <w:sz w:val="32"/>
          <w:szCs w:val="32"/>
          <w:shd w:val="clear" w:color="auto" w:fill="FFFFFF"/>
        </w:rPr>
        <w:t>　　10、机关党支部按章程设置，负责群团、离退休干部和关心下一代。</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jc w:val="both"/>
        <w:textAlignment w:val="auto"/>
        <w:rPr>
          <w:rFonts w:hint="eastAsia"/>
        </w:rPr>
      </w:pPr>
      <w:r>
        <w:rPr>
          <w:rFonts w:hint="eastAsia" w:ascii="仿宋" w:hAnsi="仿宋" w:eastAsia="仿宋" w:cs="仿宋"/>
          <w:i w:val="0"/>
          <w:iCs w:val="0"/>
          <w:caps w:val="0"/>
          <w:color w:val="333333"/>
          <w:spacing w:val="0"/>
          <w:sz w:val="32"/>
          <w:szCs w:val="32"/>
          <w:shd w:val="clear" w:color="auto" w:fill="FFFFFF"/>
        </w:rPr>
        <w:t>　　11、承办区委、区政府交办的其他事项以及对上级审计机关授权项目进行审计监督。</w:t>
      </w:r>
    </w:p>
    <w:p>
      <w:pPr>
        <w:spacing w:line="570" w:lineRule="atLeast"/>
        <w:ind w:firstLine="643"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b/>
          <w:bCs/>
          <w:color w:val="000000"/>
          <w:sz w:val="32"/>
          <w:szCs w:val="32"/>
          <w:shd w:val="clear" w:color="auto" w:fill="FFFFFF"/>
        </w:rPr>
        <w:t>（二）机构设置</w:t>
      </w:r>
    </w:p>
    <w:p>
      <w:pPr>
        <w:widowControl/>
        <w:spacing w:line="600" w:lineRule="exact"/>
        <w:ind w:firstLine="640" w:firstLineChars="200"/>
        <w:jc w:val="left"/>
        <w:rPr>
          <w:rFonts w:hint="eastAsia" w:eastAsia="仿宋_GB2312"/>
          <w:b/>
          <w:sz w:val="32"/>
          <w:szCs w:val="32"/>
          <w:lang w:eastAsia="zh-CN"/>
        </w:rPr>
      </w:pPr>
      <w:r>
        <w:rPr>
          <w:rFonts w:hint="eastAsia" w:eastAsia="仿宋_GB2312"/>
          <w:sz w:val="32"/>
          <w:szCs w:val="32"/>
          <w:lang w:eastAsia="zh-CN"/>
        </w:rPr>
        <w:t>岳阳市</w:t>
      </w:r>
      <w:r>
        <w:rPr>
          <w:rFonts w:hint="eastAsia" w:eastAsia="仿宋_GB2312"/>
          <w:sz w:val="32"/>
          <w:szCs w:val="32"/>
        </w:rPr>
        <w:t>君山区</w:t>
      </w:r>
      <w:r>
        <w:rPr>
          <w:rFonts w:hint="eastAsia" w:eastAsia="仿宋_GB2312"/>
          <w:sz w:val="32"/>
          <w:szCs w:val="32"/>
          <w:lang w:val="en-US" w:eastAsia="zh-CN"/>
        </w:rPr>
        <w:t>审计局</w:t>
      </w:r>
      <w:r>
        <w:rPr>
          <w:rFonts w:hint="eastAsia" w:eastAsia="仿宋_GB2312"/>
          <w:sz w:val="32"/>
          <w:szCs w:val="32"/>
        </w:rPr>
        <w:t>内设</w:t>
      </w:r>
      <w:r>
        <w:rPr>
          <w:rFonts w:hint="eastAsia" w:eastAsia="仿宋_GB2312"/>
          <w:sz w:val="32"/>
          <w:szCs w:val="32"/>
          <w:lang w:val="en-US" w:eastAsia="zh-CN"/>
        </w:rPr>
        <w:t>5</w:t>
      </w:r>
      <w:r>
        <w:rPr>
          <w:rFonts w:hint="eastAsia" w:eastAsia="仿宋_GB2312"/>
          <w:sz w:val="32"/>
          <w:szCs w:val="32"/>
        </w:rPr>
        <w:t>个职能股室：办公室、</w:t>
      </w:r>
      <w:r>
        <w:rPr>
          <w:rFonts w:hint="eastAsia" w:eastAsia="仿宋_GB2312"/>
          <w:sz w:val="32"/>
          <w:szCs w:val="32"/>
          <w:lang w:val="en-US" w:eastAsia="zh-CN"/>
        </w:rPr>
        <w:t>行政事业单位</w:t>
      </w:r>
      <w:r>
        <w:rPr>
          <w:rFonts w:hint="eastAsia" w:eastAsia="仿宋_GB2312"/>
          <w:sz w:val="32"/>
          <w:szCs w:val="32"/>
        </w:rPr>
        <w:t>审计股、</w:t>
      </w:r>
      <w:r>
        <w:rPr>
          <w:rFonts w:hint="eastAsia" w:eastAsia="仿宋_GB2312"/>
          <w:sz w:val="32"/>
          <w:szCs w:val="32"/>
          <w:lang w:val="en-US" w:eastAsia="zh-CN"/>
        </w:rPr>
        <w:t>经济责任室</w:t>
      </w:r>
      <w:r>
        <w:rPr>
          <w:rFonts w:hint="eastAsia" w:eastAsia="仿宋_GB2312"/>
          <w:sz w:val="32"/>
          <w:szCs w:val="32"/>
        </w:rPr>
        <w:t>股</w:t>
      </w:r>
      <w:r>
        <w:rPr>
          <w:rFonts w:hint="eastAsia" w:eastAsia="仿宋_GB2312"/>
          <w:sz w:val="32"/>
          <w:szCs w:val="32"/>
          <w:lang w:eastAsia="zh-CN"/>
        </w:rPr>
        <w:t>、</w:t>
      </w:r>
      <w:r>
        <w:rPr>
          <w:rFonts w:hint="eastAsia" w:eastAsia="仿宋_GB2312"/>
          <w:sz w:val="32"/>
          <w:szCs w:val="32"/>
          <w:lang w:val="en-US" w:eastAsia="zh-CN"/>
        </w:rPr>
        <w:t>投资股、法规审理股</w:t>
      </w:r>
      <w:r>
        <w:rPr>
          <w:rFonts w:hint="eastAsia" w:eastAsia="仿宋_GB2312"/>
          <w:sz w:val="32"/>
          <w:szCs w:val="32"/>
          <w:lang w:eastAsia="zh-CN"/>
        </w:rPr>
        <w:t>。</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二、部门预算单位构成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Theme="minorEastAsia" w:hAnsiTheme="minorEastAsia" w:eastAsiaTheme="minorEastAsia" w:cstheme="minorEastAsia"/>
          <w:i w:val="0"/>
          <w:iCs w:val="0"/>
          <w:caps w:val="0"/>
          <w:color w:val="333333"/>
          <w:spacing w:val="0"/>
          <w:sz w:val="28"/>
          <w:szCs w:val="28"/>
          <w:shd w:val="clear" w:fill="FFFFFF"/>
        </w:rPr>
      </w:pPr>
      <w:bookmarkStart w:id="0" w:name="DEPT_COMPOSE"/>
      <w:r>
        <w:rPr>
          <w:rFonts w:hint="eastAsia" w:eastAsia="仿宋_GB2312"/>
          <w:sz w:val="32"/>
          <w:szCs w:val="32"/>
          <w:lang w:eastAsia="zh-CN"/>
        </w:rPr>
        <w:t>岳阳市</w:t>
      </w:r>
      <w:r>
        <w:rPr>
          <w:rFonts w:hint="eastAsia" w:eastAsia="仿宋_GB2312"/>
          <w:sz w:val="32"/>
          <w:szCs w:val="32"/>
        </w:rPr>
        <w:t>君山区</w:t>
      </w:r>
      <w:r>
        <w:rPr>
          <w:rFonts w:hint="eastAsia" w:eastAsia="仿宋_GB2312"/>
          <w:sz w:val="32"/>
          <w:szCs w:val="32"/>
          <w:lang w:val="en-US" w:eastAsia="zh-CN"/>
        </w:rPr>
        <w:t>审计局</w:t>
      </w:r>
      <w:r>
        <w:rPr>
          <w:rFonts w:hint="eastAsia" w:ascii="仿宋_GB2312" w:hAnsi="仿宋_GB2312" w:eastAsia="仿宋_GB2312" w:cs="仿宋_GB2312"/>
          <w:color w:val="000000"/>
          <w:kern w:val="2"/>
          <w:sz w:val="32"/>
          <w:szCs w:val="32"/>
          <w:shd w:val="clear" w:color="auto" w:fill="FFFFFF"/>
          <w:lang w:val="en-US" w:eastAsia="zh-CN" w:bidi="ar-SA"/>
        </w:rPr>
        <w:t>部门只有本级，没有其他二级预算单位，因此，纳入2024年部门预算编制范围的只有</w:t>
      </w:r>
      <w:r>
        <w:rPr>
          <w:rFonts w:hint="eastAsia" w:eastAsia="仿宋_GB2312"/>
          <w:sz w:val="32"/>
          <w:szCs w:val="32"/>
          <w:lang w:eastAsia="zh-CN"/>
        </w:rPr>
        <w:t>岳阳市</w:t>
      </w:r>
      <w:r>
        <w:rPr>
          <w:rFonts w:hint="eastAsia" w:eastAsia="仿宋_GB2312"/>
          <w:sz w:val="32"/>
          <w:szCs w:val="32"/>
        </w:rPr>
        <w:t>君山区</w:t>
      </w:r>
      <w:r>
        <w:rPr>
          <w:rFonts w:hint="eastAsia" w:eastAsia="仿宋_GB2312"/>
          <w:sz w:val="32"/>
          <w:szCs w:val="32"/>
          <w:lang w:val="en-US" w:eastAsia="zh-CN"/>
        </w:rPr>
        <w:t>审计局</w:t>
      </w:r>
      <w:r>
        <w:rPr>
          <w:rFonts w:hint="eastAsia" w:ascii="仿宋_GB2312" w:hAnsi="仿宋_GB2312" w:eastAsia="仿宋_GB2312" w:cs="仿宋_GB2312"/>
          <w:color w:val="000000"/>
          <w:kern w:val="2"/>
          <w:sz w:val="32"/>
          <w:szCs w:val="32"/>
          <w:shd w:val="clear" w:color="auto" w:fill="FFFFFF"/>
          <w:lang w:val="en-US" w:eastAsia="zh-CN" w:bidi="ar-SA"/>
        </w:rPr>
        <w:t>本级。</w:t>
      </w:r>
      <w:bookmarkEnd w:id="0"/>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lang w:val="en-US" w:eastAsia="zh-CN"/>
        </w:rPr>
        <w:t>三、</w:t>
      </w:r>
      <w:r>
        <w:rPr>
          <w:rFonts w:hint="eastAsia" w:ascii="Times New Roman" w:hAnsi="Times New Roman" w:eastAsia="黑体" w:cs="Times New Roman"/>
          <w:b/>
          <w:bCs/>
          <w:kern w:val="0"/>
          <w:sz w:val="32"/>
          <w:szCs w:val="32"/>
        </w:rPr>
        <w:t>部门收支总体情况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本部门2024年没有政府性基金预算拨款、国有资本经营预算收入和纳入专户管理的非税收入拨款收入，也没有使用政府性基金预算拨款、国有资本经营预算收入和纳入专户管理的非税收入拨款安排的支出，所以公开的附件15、16、17、18、19表均为空。</w:t>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kern w:val="2"/>
          <w:sz w:val="32"/>
          <w:szCs w:val="32"/>
          <w:lang w:val="en-US" w:eastAsia="zh-CN" w:bidi="ar-SA"/>
        </w:rPr>
        <w:t>收入预算：</w:t>
      </w:r>
      <w:r>
        <w:rPr>
          <w:rFonts w:hint="eastAsia" w:ascii="仿宋_GB2312" w:hAnsi="仿宋_GB2312" w:eastAsia="仿宋_GB2312" w:cs="仿宋_GB2312"/>
          <w:color w:val="000000"/>
          <w:kern w:val="2"/>
          <w:sz w:val="32"/>
          <w:szCs w:val="32"/>
          <w:shd w:val="clear" w:color="auto" w:fill="FFFFFF"/>
          <w:lang w:val="en-US" w:eastAsia="zh-CN" w:bidi="ar-SA"/>
        </w:rPr>
        <w:t>包括一般公共预算、政府性基金、国有资本经营预算等财政拨款收入，以及经营收入、事业收入等单位资金。2024年本部门收入预算437.75万元，其中，一般公共预算拨款437.75万元，政府性基金预算资金0.00万元(所以公开的附件15-17表为空)，国有资本经营预算资金0.00万元(所以公开的附件18表为空)，财政专户管理资金0.00万元(所以公开的附件19表为空)，上级补助收入资金0.00万元，事业单位经营收入资金0.00万元，上年结转结余0.00万元。收入较上年减少52.73万元，下降10.75%。主要原因是厉行节约，压缩了特定目标类项目支出预算。</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Chars="200"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drawing>
          <wp:inline distT="0" distB="0" distL="114300" distR="114300">
            <wp:extent cx="4886325" cy="2667000"/>
            <wp:effectExtent l="6350" t="6350" r="22225" b="12700"/>
            <wp:docPr id="4" name="图表 3"/>
            <wp:cNvGraphicFramePr/>
            <a:graphic xmlns:a="http://schemas.openxmlformats.org/drawingml/2006/main">
              <a:graphicData uri="http://schemas.openxmlformats.org/drawingml/2006/chart">
                <c:chart xmlns:c="http://schemas.openxmlformats.org/drawingml/2006/chart" xmlns:r="http://schemas.openxmlformats.org/officeDocument/2006/relationships" r:id="rId4"/>
              </a:graphicData>
            </a:graphic>
          </wp:inline>
        </w:drawing>
      </w:r>
    </w:p>
    <w:p>
      <w:pPr>
        <w:pStyle w:val="5"/>
        <w:keepNext w:val="0"/>
        <w:keepLines w:val="0"/>
        <w:widowControl/>
        <w:numPr>
          <w:ilvl w:val="0"/>
          <w:numId w:val="1"/>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leftChars="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kern w:val="2"/>
          <w:sz w:val="32"/>
          <w:szCs w:val="32"/>
          <w:lang w:val="en-US" w:eastAsia="zh-CN" w:bidi="ar-SA"/>
        </w:rPr>
        <w:t>支出预算：</w:t>
      </w:r>
      <w:r>
        <w:rPr>
          <w:rFonts w:hint="eastAsia" w:ascii="仿宋_GB2312" w:hAnsi="仿宋_GB2312" w:eastAsia="仿宋_GB2312" w:cs="仿宋_GB2312"/>
          <w:color w:val="000000"/>
          <w:kern w:val="2"/>
          <w:sz w:val="32"/>
          <w:szCs w:val="32"/>
          <w:shd w:val="clear" w:color="auto" w:fill="FFFFFF"/>
          <w:lang w:val="en-US" w:eastAsia="zh-CN" w:bidi="ar-SA"/>
        </w:rPr>
        <w:t>2024年本部门支出预算437.75万元，其中：一般公共服务支出349.55万元，社会保障和就业支出49.16万元，卫生健康支出15.03万元，住房保障支出24.01万元。支出较上年减少52.73万元，下降10.75%。主要原因是厉行节约，压缩了特定目标类项目支出预算。</w:t>
      </w:r>
    </w:p>
    <w:p>
      <w:pPr>
        <w:pStyle w:val="5"/>
        <w:keepNext w:val="0"/>
        <w:keepLines w:val="0"/>
        <w:widowControl/>
        <w:numPr>
          <w:ilvl w:val="0"/>
          <w:numId w:val="0"/>
        </w:numPr>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rightChars="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lang w:val="en-US" w:eastAsia="zh-CN"/>
        </w:rPr>
        <w:t xml:space="preserve">    </w:t>
      </w:r>
      <w:r>
        <w:drawing>
          <wp:inline distT="0" distB="0" distL="114300" distR="114300">
            <wp:extent cx="4572000" cy="2743200"/>
            <wp:effectExtent l="4445" t="4445" r="14605" b="14605"/>
            <wp:docPr id="2" name="图表 1"/>
            <wp:cNvGraphicFramePr/>
            <a:graphic xmlns:a="http://schemas.openxmlformats.org/drawingml/2006/main">
              <a:graphicData uri="http://schemas.openxmlformats.org/drawingml/2006/chart">
                <c:chart xmlns:c="http://schemas.openxmlformats.org/drawingml/2006/chart" xmlns:r="http://schemas.openxmlformats.org/officeDocument/2006/relationships" r:id="rId5"/>
              </a:graphicData>
            </a:graphic>
          </wp:inline>
        </w:drawing>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四、一般公共预算拨款支出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本部门一般公共预算拨款支出437.75万元，其中：一般公共服务支出349.55万元，占79.85%；社会保障和就业支出49.16万元，占11.23%；卫生健康支出15.03万元，占3.43%；住房保障支出24.01万元，占5.49%。具体安排情况如下：</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Times New Roman" w:hAnsi="Times New Roman" w:eastAsia="仿宋_GB2312" w:cs="Times New Roman"/>
          <w:b/>
          <w:sz w:val="32"/>
          <w:szCs w:val="32"/>
        </w:rPr>
        <w:t>（一）基本支出：</w:t>
      </w:r>
      <w:r>
        <w:rPr>
          <w:rFonts w:hint="eastAsia" w:ascii="仿宋_GB2312" w:hAnsi="仿宋_GB2312" w:eastAsia="仿宋_GB2312" w:cs="仿宋_GB2312"/>
          <w:color w:val="000000"/>
          <w:kern w:val="2"/>
          <w:sz w:val="32"/>
          <w:szCs w:val="32"/>
          <w:shd w:val="clear" w:color="auto" w:fill="FFFFFF"/>
          <w:lang w:val="en-US" w:eastAsia="zh-CN" w:bidi="ar-SA"/>
        </w:rPr>
        <w:t>2024年本部门基本支出预算数323.35万元，主要是为保障部门正常运转、完成日常工作任务而发生的各项支出，包括用于基本工资、津贴补贴等人员经费以及办公费、印刷费、水电费、办公设备购置等公用经费。</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2" w:lineRule="atLeast"/>
        <w:ind w:left="0" w:right="0" w:firstLine="643" w:firstLineChars="200"/>
        <w:jc w:val="both"/>
        <w:textAlignment w:val="auto"/>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（二）项目支出：</w:t>
      </w:r>
      <w:r>
        <w:rPr>
          <w:rFonts w:hint="eastAsia" w:ascii="仿宋_GB2312" w:hAnsi="仿宋_GB2312" w:eastAsia="仿宋_GB2312" w:cs="仿宋_GB2312"/>
          <w:color w:val="000000"/>
          <w:kern w:val="2"/>
          <w:sz w:val="32"/>
          <w:szCs w:val="32"/>
          <w:shd w:val="clear" w:color="auto" w:fill="FFFFFF"/>
          <w:lang w:val="en-US" w:eastAsia="zh-CN" w:bidi="ar-SA"/>
        </w:rPr>
        <w:t>2024年本部门项目支出预算114.4万元，主要是本部门为完成特定工作任务或事业发展目标而发生的支出，包括包括业务工作经费支出、运行维护经费等，其中：审计局专项支出13.6万元，主要用于经济责任审计及专项审计支出等方面；审计业务工作经费100.8万元，主要用于财政同级审及工程造价审计支出等方面；与上年相比有所减少。</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五、政府性基金预算支出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2024年度本部门无政府性基金安排的支出，所以公开的附件15-17表（政府性基金预算）为空。</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六、其他重要事项的情况说明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（一）机关运行经费：</w:t>
      </w:r>
      <w:r>
        <w:rPr>
          <w:rFonts w:hint="eastAsia" w:ascii="仿宋_GB2312" w:hAnsi="仿宋_GB2312" w:eastAsia="仿宋_GB2312" w:cs="仿宋_GB2312"/>
          <w:color w:val="000000"/>
          <w:kern w:val="2"/>
          <w:sz w:val="32"/>
          <w:szCs w:val="32"/>
          <w:shd w:val="clear" w:color="auto" w:fill="FFFFFF"/>
          <w:lang w:val="en-US" w:eastAsia="zh-CN" w:bidi="ar-SA"/>
        </w:rPr>
        <w:t>2024年君山区审计局机关运行经费35.06万元，比上年预算下降17.99%。主要原因是主要原因是严格落实中央“过紧日子”的要求，从严控制日常经费支出，造成公用经费预算减少。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（二）“三公”经费预算：</w:t>
      </w:r>
      <w:r>
        <w:rPr>
          <w:rFonts w:hint="eastAsia" w:ascii="仿宋_GB2312" w:hAnsi="仿宋_GB2312" w:eastAsia="仿宋_GB2312" w:cs="仿宋_GB2312"/>
          <w:color w:val="000000"/>
          <w:kern w:val="2"/>
          <w:sz w:val="32"/>
          <w:szCs w:val="32"/>
          <w:shd w:val="clear" w:color="auto" w:fill="FFFFFF"/>
          <w:lang w:val="en-US" w:eastAsia="zh-CN" w:bidi="ar-SA"/>
        </w:rPr>
        <w:t>2024年本部门“三公”经费预算数为1万元，其中，公务接待费1万元，公务用车购置及运行费0万元（其中，公务用车购置费0万元，公务用车运行费0万元），因公出国（境）费0万元。2024年“三公”经费预算较2023年减少1万元，主要原因是严格落实中央“八项规定”精神和“过紧日子”的要求，从严控制“三公”经费支出。</w:t>
      </w:r>
      <w:bookmarkStart w:id="1" w:name="DIS_MARK_IS_ZERO_06_2"/>
      <w:bookmarkEnd w:id="1"/>
      <w:bookmarkStart w:id="2" w:name="END_IS_ZERO_06_2"/>
      <w:bookmarkEnd w:id="2"/>
      <w:bookmarkStart w:id="3" w:name="END_IS_ZERO_06_1"/>
      <w:bookmarkEnd w:id="3"/>
      <w:bookmarkStart w:id="4" w:name="START_IS_ZERO_06_2"/>
      <w:bookmarkEnd w:id="4"/>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（三）一般性支出情况：</w:t>
      </w:r>
      <w:r>
        <w:rPr>
          <w:rFonts w:hint="eastAsia" w:ascii="仿宋_GB2312" w:hAnsi="仿宋_GB2312" w:eastAsia="仿宋_GB2312" w:cs="仿宋_GB2312"/>
          <w:color w:val="000000"/>
          <w:kern w:val="2"/>
          <w:sz w:val="32"/>
          <w:szCs w:val="32"/>
          <w:shd w:val="clear" w:color="auto" w:fill="FFFFFF"/>
          <w:lang w:val="en-US" w:eastAsia="zh-CN" w:bidi="ar-SA"/>
        </w:rPr>
        <w:t>2024年本部门会议费预算0万元，拟召开0次会议，人数0人；培训费预算0万元，拟开展0次培训，人数0人；2024年度本部门未计划举办节庆、晚会、论坛、赛事活动。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（四）政府采购情况：</w:t>
      </w:r>
      <w:r>
        <w:rPr>
          <w:rFonts w:hint="eastAsia" w:ascii="仿宋_GB2312" w:hAnsi="仿宋_GB2312" w:eastAsia="仿宋_GB2312" w:cs="仿宋_GB2312"/>
          <w:color w:val="000000"/>
          <w:kern w:val="2"/>
          <w:sz w:val="32"/>
          <w:szCs w:val="32"/>
          <w:shd w:val="clear" w:color="auto" w:fill="FFFFFF"/>
          <w:lang w:val="en-US" w:eastAsia="zh-CN" w:bidi="ar-SA"/>
        </w:rPr>
        <w:t>2024年本部门政府采购预算总额52.7万元，其中，货物类采购预算32.7万元；工程类采购预算0万元，服务类采购预算20万元。</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（五）国有资产占用使用及新增资产配置情况：</w:t>
      </w:r>
      <w:r>
        <w:rPr>
          <w:rFonts w:hint="eastAsia" w:ascii="仿宋_GB2312" w:hAnsi="仿宋_GB2312" w:eastAsia="仿宋_GB2312" w:cs="仿宋_GB2312"/>
          <w:color w:val="000000"/>
          <w:kern w:val="2"/>
          <w:sz w:val="32"/>
          <w:szCs w:val="32"/>
          <w:shd w:val="clear" w:color="auto" w:fill="FFFFFF"/>
          <w:lang w:val="en-US" w:eastAsia="zh-CN" w:bidi="ar-SA"/>
        </w:rPr>
        <w:t>截至2023年12月底，本部门共有公务用车0辆，其中，机要通信用车0辆，应急保障用车0辆，执法执勤用车0辆，特种专业技术用车0辆，其他按照规定配备的公务用车0辆；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color w:val="000000"/>
          <w:kern w:val="2"/>
          <w:sz w:val="32"/>
          <w:szCs w:val="32"/>
          <w:shd w:val="clear" w:color="auto" w:fill="FFFFFF"/>
          <w:lang w:val="en-US" w:eastAsia="zh-CN" w:bidi="ar-SA"/>
        </w:rPr>
        <w:t>2024年拟新增配置公务用车0辆，其中，机要通信用车0辆，应急保障用车0辆，执法执勤用车0辆，特种专业技术用车0辆，其他按照规定配备的公务用车0辆；新增配备单位价值50万元以上设备0台，其中，单位价值100万元以上设备0台。</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（六）预算绩效目标说明：</w:t>
      </w:r>
      <w:r>
        <w:rPr>
          <w:rFonts w:hint="eastAsia" w:ascii="仿宋_GB2312" w:hAnsi="仿宋_GB2312" w:eastAsia="仿宋_GB2312" w:cs="仿宋_GB2312"/>
          <w:color w:val="000000"/>
          <w:kern w:val="2"/>
          <w:sz w:val="32"/>
          <w:szCs w:val="32"/>
          <w:shd w:val="clear" w:color="auto" w:fill="FFFFFF"/>
          <w:lang w:val="en-US" w:eastAsia="zh-CN" w:bidi="ar-SA"/>
        </w:rPr>
        <w:t>本部门所有支出实行绩效目标管理。纳入2024年部门整体支出绩效目标的金额为437.75万元，其中，基本支出323.35万元，项目支出114.4万元，具体绩效目标详见文尾附表中部门预算公开表格的表21-22。</w:t>
      </w:r>
    </w:p>
    <w:p>
      <w:pPr>
        <w:widowControl/>
        <w:spacing w:line="570" w:lineRule="atLeast"/>
        <w:ind w:firstLine="643" w:firstLineChars="200"/>
        <w:rPr>
          <w:rFonts w:hint="eastAsia" w:ascii="Times New Roman" w:hAnsi="Times New Roman" w:eastAsia="黑体" w:cs="Times New Roman"/>
          <w:b/>
          <w:bCs/>
          <w:kern w:val="0"/>
          <w:sz w:val="32"/>
          <w:szCs w:val="32"/>
        </w:rPr>
      </w:pPr>
      <w:r>
        <w:rPr>
          <w:rFonts w:hint="eastAsia" w:ascii="Times New Roman" w:hAnsi="Times New Roman" w:eastAsia="黑体" w:cs="Times New Roman"/>
          <w:b/>
          <w:bCs/>
          <w:kern w:val="0"/>
          <w:sz w:val="32"/>
          <w:szCs w:val="32"/>
        </w:rPr>
        <w:t>七、名词解释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1．机关运行经费：</w:t>
      </w:r>
      <w:r>
        <w:rPr>
          <w:rFonts w:hint="eastAsia" w:ascii="仿宋_GB2312" w:hAnsi="仿宋_GB2312" w:eastAsia="仿宋_GB2312" w:cs="仿宋_GB2312"/>
          <w:color w:val="000000"/>
          <w:kern w:val="2"/>
          <w:sz w:val="32"/>
          <w:szCs w:val="32"/>
          <w:shd w:val="clear" w:color="auto" w:fill="FFFFFF"/>
          <w:lang w:val="en-US" w:eastAsia="zh-CN" w:bidi="ar-SA"/>
        </w:rPr>
        <w:t>是指各部门的公用经费，包括办公及印刷费、邮电费、差旅费、会议费、福利费、日常维修费、专用资料及一般设备购置费、办公用房水电费、办公用房取暖费、办公用房物业管理费、公务用车运行维护费以及其他费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3"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2．“三公”经费：</w:t>
      </w:r>
      <w:r>
        <w:rPr>
          <w:rFonts w:hint="eastAsia" w:ascii="仿宋_GB2312" w:hAnsi="仿宋_GB2312" w:eastAsia="仿宋_GB2312" w:cs="仿宋_GB2312"/>
          <w:color w:val="000000"/>
          <w:kern w:val="2"/>
          <w:sz w:val="32"/>
          <w:szCs w:val="32"/>
          <w:shd w:val="clear" w:color="auto" w:fill="FFFFFF"/>
          <w:lang w:val="en-US" w:eastAsia="zh-CN" w:bidi="ar-SA"/>
        </w:rPr>
        <w:t>纳入省（市/县）财政预算管理的“三公“经费，是指用一般公共预算拨款安排的公务接待费、公务用车购置及运行维护费和因公出国（境）费。其中，公务接待费反映单位按规定开支的各类公务接待支出；公务用车购置及运行费反映单位公务用车车辆购置支出（含车辆购置税），以及燃料费、维修费、保险费等支出；因公出国（境）费反映单位公务出国（境）的国际旅费、国外城市间交通费、住宿费、伙食费、培训费、公杂费等支出。</w:t>
      </w: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both"/>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p>
    <w:p>
      <w:pPr>
        <w:widowControl/>
        <w:jc w:val="center"/>
        <w:rPr>
          <w:rFonts w:hint="eastAsia" w:ascii="方正小标宋简体" w:hAnsi="Times New Roman" w:eastAsia="方正小标宋简体" w:cs="Times New Roman"/>
          <w:b/>
          <w:bCs/>
          <w:kern w:val="0"/>
          <w:sz w:val="36"/>
          <w:szCs w:val="36"/>
        </w:rPr>
      </w:pPr>
      <w:r>
        <w:rPr>
          <w:rFonts w:hint="eastAsia" w:ascii="方正小标宋简体" w:hAnsi="Times New Roman" w:eastAsia="方正小标宋简体" w:cs="Times New Roman"/>
          <w:b/>
          <w:bCs/>
          <w:kern w:val="0"/>
          <w:sz w:val="36"/>
          <w:szCs w:val="36"/>
        </w:rPr>
        <w:t>第二部分  2024年部门预算公开表格</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2、收入总表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3、支出总表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4、支出预算分类汇总表（按政府预算经济分类）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5、支出预算分类汇总表（按部门预算经济分类）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6、财政拨款收支总表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7、一般公共预算支出表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8、一般公共预算基本支出表-人员经费（工资福利支出）（按政府预算经济分类）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9、一般公共预算基本支出表-人员经费（工资福利支出）（按部门预算经济分类）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10、一般公共预算基本支出表-人员经费（对个人和家庭的补助）（按政府预算经济分类）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11、一般公共预算基本支出表-人员经费（对个人和家庭的补助）（按部门预算经济分类）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12、一般公共预算基本支出表-公用经费（商品和服务支出）（按政府预算经济分类）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13、一般公共预算基本支出表-公用经费（商品和服务支出）（按部门预算经济分类）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14、一般公共预算“三公”经费支出表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15、政府性基金预算支出表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16、政府性基金预算支出分类汇总表（按政府预算经济分类）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17、政府性基金预算支出分类汇总表（按部门预算经济分类）</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18、国有资本经营预算支出表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19、财政专户管理资金预算支出表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20、专项资金预算汇总表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21、项目支出绩效目标表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22、部门整体支出绩效目标表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23、一般公共预算基本支出表</w:t>
      </w:r>
    </w:p>
    <w:p>
      <w:pPr>
        <w:spacing w:line="570" w:lineRule="atLeast"/>
        <w:ind w:firstLine="640" w:firstLineChars="200"/>
        <w:rPr>
          <w:rFonts w:hint="eastAsia" w:ascii="仿宋_GB2312" w:hAnsi="仿宋_GB2312" w:eastAsia="仿宋_GB2312" w:cs="仿宋_GB2312"/>
          <w:color w:val="000000"/>
          <w:sz w:val="32"/>
          <w:szCs w:val="32"/>
          <w:shd w:val="clear" w:color="auto" w:fill="FFFFFF"/>
        </w:rPr>
      </w:pPr>
      <w:r>
        <w:rPr>
          <w:rFonts w:hint="eastAsia" w:ascii="仿宋_GB2312" w:hAnsi="仿宋_GB2312" w:eastAsia="仿宋_GB2312" w:cs="仿宋_GB2312"/>
          <w:color w:val="000000"/>
          <w:sz w:val="32"/>
          <w:szCs w:val="32"/>
          <w:shd w:val="clear" w:color="auto" w:fill="FFFFFF"/>
        </w:rPr>
        <w:t>注：以上部门预算公开报表中，空表表示本部门无相关收支情况。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left="0" w:right="0" w:firstLine="640" w:firstLineChars="20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line="22" w:lineRule="atLeast"/>
        <w:ind w:right="0"/>
        <w:jc w:val="both"/>
        <w:textAlignment w:val="center"/>
        <w:rPr>
          <w:rFonts w:hint="eastAsia" w:ascii="仿宋_GB2312" w:hAnsi="仿宋_GB2312" w:eastAsia="仿宋_GB2312" w:cs="仿宋_GB2312"/>
          <w:color w:val="000000"/>
          <w:kern w:val="2"/>
          <w:sz w:val="32"/>
          <w:szCs w:val="32"/>
          <w:shd w:val="clear" w:color="auto" w:fill="FFFFFF"/>
          <w:lang w:val="en-US" w:eastAsia="zh-CN" w:bidi="ar-SA"/>
        </w:rPr>
      </w:pPr>
      <w:r>
        <w:rPr>
          <w:rFonts w:hint="eastAsia" w:ascii="仿宋_GB2312" w:hAnsi="仿宋_GB2312" w:eastAsia="仿宋_GB2312" w:cs="仿宋_GB2312"/>
          <w:b/>
          <w:bCs/>
          <w:color w:val="000000"/>
          <w:kern w:val="2"/>
          <w:sz w:val="32"/>
          <w:szCs w:val="32"/>
          <w:shd w:val="clear" w:color="auto" w:fill="FFFFFF"/>
          <w:lang w:val="en-US" w:eastAsia="zh-CN" w:bidi="ar-SA"/>
        </w:rPr>
        <w:t>附件：岳阳市君山区审计局2024</w:t>
      </w:r>
      <w:bookmarkStart w:id="5" w:name="_GoBack"/>
      <w:bookmarkEnd w:id="5"/>
      <w:r>
        <w:rPr>
          <w:rFonts w:hint="eastAsia" w:ascii="仿宋_GB2312" w:hAnsi="仿宋_GB2312" w:eastAsia="仿宋_GB2312" w:cs="仿宋_GB2312"/>
          <w:b/>
          <w:bCs/>
          <w:color w:val="000000"/>
          <w:kern w:val="2"/>
          <w:sz w:val="32"/>
          <w:szCs w:val="32"/>
          <w:shd w:val="clear" w:color="auto" w:fill="FFFFFF"/>
          <w:lang w:val="en-US" w:eastAsia="zh-CN" w:bidi="ar-SA"/>
        </w:rPr>
        <w:t>年部门预算公开表</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B033C74-F608-4EE7-823F-E19604006396}"/>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2000000000000000000"/>
    <w:charset w:val="86"/>
    <w:family w:val="script"/>
    <w:pitch w:val="default"/>
    <w:sig w:usb0="00000000" w:usb1="00000000" w:usb2="00000000" w:usb3="00000000" w:csb0="00000000" w:csb1="00000000"/>
    <w:embedRegular r:id="rId2" w:fontKey="{A2E86257-7731-4391-93EA-7D83FCDF2D48}"/>
  </w:font>
  <w:font w:name="仿宋_GB2312">
    <w:panose1 w:val="02010609030101010101"/>
    <w:charset w:val="86"/>
    <w:family w:val="modern"/>
    <w:pitch w:val="default"/>
    <w:sig w:usb0="00000001" w:usb1="080E0000" w:usb2="00000000" w:usb3="00000000" w:csb0="00040000" w:csb1="00000000"/>
    <w:embedRegular r:id="rId3" w:fontKey="{0D8C2062-954F-45A7-9957-6F44C5331C91}"/>
  </w:font>
  <w:font w:name="方正小标宋_GBK">
    <w:altName w:val="微软雅黑"/>
    <w:panose1 w:val="03000509000000000000"/>
    <w:charset w:val="86"/>
    <w:family w:val="script"/>
    <w:pitch w:val="default"/>
    <w:sig w:usb0="00000000" w:usb1="00000000" w:usb2="00000000" w:usb3="00000000" w:csb0="00040000" w:csb1="00000000"/>
    <w:embedRegular r:id="rId4" w:fontKey="{9C63A0A1-2F87-4C68-9750-E5A80A5BFE01}"/>
  </w:font>
  <w:font w:name="仿宋">
    <w:panose1 w:val="02010609060101010101"/>
    <w:charset w:val="86"/>
    <w:family w:val="auto"/>
    <w:pitch w:val="default"/>
    <w:sig w:usb0="800002BF" w:usb1="38CF7CFA" w:usb2="00000016" w:usb3="00000000" w:csb0="00040001" w:csb1="00000000"/>
    <w:embedRegular r:id="rId5" w:fontKey="{4D54442A-4750-4B7C-BA5A-6F305A95EAD3}"/>
  </w:font>
  <w:font w:name="微软雅黑">
    <w:panose1 w:val="020B0503020204020204"/>
    <w:charset w:val="86"/>
    <w:family w:val="auto"/>
    <w:pitch w:val="default"/>
    <w:sig w:usb0="80000287" w:usb1="280F3C52" w:usb2="00000016" w:usb3="00000000" w:csb0="0004001F" w:csb1="00000000"/>
  </w:font>
  <w:font w:name="Calibri Light">
    <w:panose1 w:val="020F0302020204030204"/>
    <w:charset w:val="00"/>
    <w:family w:val="auto"/>
    <w:pitch w:val="default"/>
    <w:sig w:usb0="A00002EF" w:usb1="4000207B" w:usb2="00000000" w:usb3="00000000" w:csb0="2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511038EA"/>
    <w:multiLevelType w:val="singleLevel"/>
    <w:tmpl w:val="511038EA"/>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dhYjk4OGVmM2VlZjBhMjQ4ZjAyMGMyN2E1NmZkZjUifQ=="/>
  </w:docVars>
  <w:rsids>
    <w:rsidRoot w:val="637274E6"/>
    <w:rsid w:val="00857C69"/>
    <w:rsid w:val="00E610E1"/>
    <w:rsid w:val="013E4883"/>
    <w:rsid w:val="02412BCB"/>
    <w:rsid w:val="02FA7BB8"/>
    <w:rsid w:val="03631DE8"/>
    <w:rsid w:val="05DE428D"/>
    <w:rsid w:val="05ED25F6"/>
    <w:rsid w:val="079242AE"/>
    <w:rsid w:val="085B3B1D"/>
    <w:rsid w:val="085D0C84"/>
    <w:rsid w:val="0992531D"/>
    <w:rsid w:val="09FA1D20"/>
    <w:rsid w:val="0A0D382D"/>
    <w:rsid w:val="0D2835D5"/>
    <w:rsid w:val="0DA42EFA"/>
    <w:rsid w:val="0E402B72"/>
    <w:rsid w:val="0E721BC1"/>
    <w:rsid w:val="0ED939EE"/>
    <w:rsid w:val="13385187"/>
    <w:rsid w:val="144178C3"/>
    <w:rsid w:val="163B498D"/>
    <w:rsid w:val="167C1082"/>
    <w:rsid w:val="168E55F8"/>
    <w:rsid w:val="16B94831"/>
    <w:rsid w:val="18544FDE"/>
    <w:rsid w:val="18844C6D"/>
    <w:rsid w:val="192905D4"/>
    <w:rsid w:val="1A4F3350"/>
    <w:rsid w:val="1AC13CB4"/>
    <w:rsid w:val="1AF36B28"/>
    <w:rsid w:val="1C676ADD"/>
    <w:rsid w:val="1C6E1C1A"/>
    <w:rsid w:val="1C744CBF"/>
    <w:rsid w:val="1CD25B13"/>
    <w:rsid w:val="1D6E31FC"/>
    <w:rsid w:val="1D85581C"/>
    <w:rsid w:val="1F5E5F75"/>
    <w:rsid w:val="1FD800E8"/>
    <w:rsid w:val="200307FA"/>
    <w:rsid w:val="20A420AE"/>
    <w:rsid w:val="22DF4F83"/>
    <w:rsid w:val="230C7214"/>
    <w:rsid w:val="23A065A8"/>
    <w:rsid w:val="23BE3486"/>
    <w:rsid w:val="24302B07"/>
    <w:rsid w:val="243D1BD3"/>
    <w:rsid w:val="25472F43"/>
    <w:rsid w:val="256B3D61"/>
    <w:rsid w:val="264178B0"/>
    <w:rsid w:val="26962633"/>
    <w:rsid w:val="26E130FE"/>
    <w:rsid w:val="29C372D4"/>
    <w:rsid w:val="29EC6874"/>
    <w:rsid w:val="2A351017"/>
    <w:rsid w:val="2C2776EC"/>
    <w:rsid w:val="2D6329A9"/>
    <w:rsid w:val="2DA53533"/>
    <w:rsid w:val="305B1762"/>
    <w:rsid w:val="305C2E10"/>
    <w:rsid w:val="3085088F"/>
    <w:rsid w:val="31A800DF"/>
    <w:rsid w:val="324A2389"/>
    <w:rsid w:val="32865768"/>
    <w:rsid w:val="328F1D91"/>
    <w:rsid w:val="32C66482"/>
    <w:rsid w:val="33355D66"/>
    <w:rsid w:val="34246693"/>
    <w:rsid w:val="34521626"/>
    <w:rsid w:val="35683252"/>
    <w:rsid w:val="36BD5820"/>
    <w:rsid w:val="36BE748E"/>
    <w:rsid w:val="36CB7059"/>
    <w:rsid w:val="38E3475C"/>
    <w:rsid w:val="3951638D"/>
    <w:rsid w:val="3A242018"/>
    <w:rsid w:val="3E7A77E2"/>
    <w:rsid w:val="405E54FF"/>
    <w:rsid w:val="41633946"/>
    <w:rsid w:val="43666CD0"/>
    <w:rsid w:val="45372C41"/>
    <w:rsid w:val="472973EE"/>
    <w:rsid w:val="477C3FDA"/>
    <w:rsid w:val="47E411CF"/>
    <w:rsid w:val="490966A2"/>
    <w:rsid w:val="496F41C2"/>
    <w:rsid w:val="4AD36F68"/>
    <w:rsid w:val="4B5D43D7"/>
    <w:rsid w:val="4BC03402"/>
    <w:rsid w:val="4D001B6A"/>
    <w:rsid w:val="4DBF1A26"/>
    <w:rsid w:val="4DEF1D65"/>
    <w:rsid w:val="4EC2028E"/>
    <w:rsid w:val="4EE728E7"/>
    <w:rsid w:val="50447689"/>
    <w:rsid w:val="51B004D2"/>
    <w:rsid w:val="52A91D7A"/>
    <w:rsid w:val="53CB1124"/>
    <w:rsid w:val="54A70CC5"/>
    <w:rsid w:val="554D5B69"/>
    <w:rsid w:val="55D10548"/>
    <w:rsid w:val="56301712"/>
    <w:rsid w:val="5681523A"/>
    <w:rsid w:val="56AF6ADB"/>
    <w:rsid w:val="576A0C54"/>
    <w:rsid w:val="5A1535D7"/>
    <w:rsid w:val="5A380B96"/>
    <w:rsid w:val="5D7F32CE"/>
    <w:rsid w:val="5F3F29C6"/>
    <w:rsid w:val="60844B35"/>
    <w:rsid w:val="60884CBD"/>
    <w:rsid w:val="60B230E1"/>
    <w:rsid w:val="61152890"/>
    <w:rsid w:val="636D1293"/>
    <w:rsid w:val="637274E6"/>
    <w:rsid w:val="63894210"/>
    <w:rsid w:val="65A610A9"/>
    <w:rsid w:val="662F72F1"/>
    <w:rsid w:val="66B263EF"/>
    <w:rsid w:val="69175946"/>
    <w:rsid w:val="6B49147A"/>
    <w:rsid w:val="6C0749A4"/>
    <w:rsid w:val="6C1B6290"/>
    <w:rsid w:val="6C5E2742"/>
    <w:rsid w:val="6CB542C8"/>
    <w:rsid w:val="6CC62031"/>
    <w:rsid w:val="6F2B2069"/>
    <w:rsid w:val="7076663E"/>
    <w:rsid w:val="70AE175A"/>
    <w:rsid w:val="70F92319"/>
    <w:rsid w:val="727911D9"/>
    <w:rsid w:val="728C4B01"/>
    <w:rsid w:val="729A1F96"/>
    <w:rsid w:val="72E03230"/>
    <w:rsid w:val="73046E24"/>
    <w:rsid w:val="73897160"/>
    <w:rsid w:val="739C7F8F"/>
    <w:rsid w:val="73BE1EBD"/>
    <w:rsid w:val="74232EF6"/>
    <w:rsid w:val="748B04A5"/>
    <w:rsid w:val="74D47E83"/>
    <w:rsid w:val="753F0C2D"/>
    <w:rsid w:val="77DE623F"/>
    <w:rsid w:val="78CC0C1A"/>
    <w:rsid w:val="791A5BDE"/>
    <w:rsid w:val="7C9338B5"/>
    <w:rsid w:val="7EBE525E"/>
    <w:rsid w:val="7F6D60FB"/>
    <w:rsid w:val="7F781CD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7">
    <w:name w:val="Default Paragraph Font"/>
    <w:semiHidden/>
    <w:qFormat/>
    <w:uiPriority w:val="0"/>
  </w:style>
  <w:style w:type="table" w:default="1" w:styleId="6">
    <w:name w:val="Normal Table"/>
    <w:semiHidden/>
    <w:qFormat/>
    <w:uiPriority w:val="0"/>
    <w:tblPr>
      <w:tblCellMar>
        <w:top w:w="0" w:type="dxa"/>
        <w:left w:w="108" w:type="dxa"/>
        <w:bottom w:w="0" w:type="dxa"/>
        <w:right w:w="108" w:type="dxa"/>
      </w:tblCellMar>
    </w:tblPr>
  </w:style>
  <w:style w:type="paragraph" w:styleId="2">
    <w:name w:val="Normal Indent"/>
    <w:basedOn w:val="1"/>
    <w:qFormat/>
    <w:uiPriority w:val="0"/>
    <w:pPr>
      <w:ind w:firstLine="420"/>
    </w:pPr>
    <w:rPr>
      <w:szCs w:val="20"/>
    </w:rPr>
  </w:style>
  <w:style w:type="paragraph" w:styleId="3">
    <w:name w:val="footer"/>
    <w:basedOn w:val="1"/>
    <w:qFormat/>
    <w:uiPriority w:val="99"/>
    <w:pPr>
      <w:tabs>
        <w:tab w:val="center" w:pos="4153"/>
        <w:tab w:val="right" w:pos="8306"/>
      </w:tabs>
      <w:snapToGrid w:val="0"/>
      <w:jc w:val="left"/>
    </w:pPr>
    <w:rPr>
      <w:sz w:val="18"/>
      <w:szCs w:val="18"/>
    </w:rPr>
  </w:style>
  <w:style w:type="paragraph" w:styleId="4">
    <w:name w:val="header"/>
    <w:basedOn w:val="1"/>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8">
    <w:name w:val="page number"/>
    <w:qFormat/>
    <w:uiPriority w:val="0"/>
  </w:style>
  <w:style w:type="character" w:styleId="9">
    <w:name w:val="Hyperlink"/>
    <w:basedOn w:val="7"/>
    <w:qFormat/>
    <w:uiPriority w:val="0"/>
    <w:rPr>
      <w:color w:val="0000FF"/>
      <w:u w:val="singl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chart" Target="charts/chart2.xml"/><Relationship Id="rId4" Type="http://schemas.openxmlformats.org/officeDocument/2006/relationships/chart" Target="charts/chart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charts/_rels/chart1.xml.rels><?xml version="1.0" encoding="UTF-8" standalone="yes"?>
<Relationships xmlns="http://schemas.openxmlformats.org/package/2006/relationships"><Relationship Id="rId1" Type="http://schemas.openxmlformats.org/officeDocument/2006/relationships/oleObject" Target="file:///C:\Users\Administrator\Desktop\Book1.xlsx" TargetMode="External"/></Relationships>
</file>

<file path=word/charts/_rels/chart2.xml.rels><?xml version="1.0" encoding="UTF-8" standalone="yes"?>
<Relationships xmlns="http://schemas.openxmlformats.org/package/2006/relationships"><Relationship Id="rId3" Type="http://schemas.microsoft.com/office/2011/relationships/chartColorStyle" Target="colors1.xml"/><Relationship Id="rId2" Type="http://schemas.microsoft.com/office/2011/relationships/chartStyle" Target="style1.xml"/><Relationship Id="rId1" Type="http://schemas.openxmlformats.org/officeDocument/2006/relationships/oleObject" Target="file:///C:\Users\Administrator\Desktop\&#22270;&#34920;.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800" b="1" i="0" u="none" strike="noStrike" kern="1200" baseline="0">
                <a:solidFill>
                  <a:schemeClr val="tx1"/>
                </a:solidFill>
                <a:latin typeface="+mn-lt"/>
                <a:ea typeface="+mn-ea"/>
                <a:cs typeface="+mn-cs"/>
              </a:defRPr>
            </a:pPr>
            <a:r>
              <a:t>收入预算图</a:t>
            </a:r>
          </a:p>
        </c:rich>
      </c:tx>
      <c:layout/>
      <c:overlay val="0"/>
    </c:title>
    <c:autoTitleDeleted val="0"/>
    <c:plotArea>
      <c:layout/>
      <c:pieChart>
        <c:varyColors val="1"/>
        <c:ser>
          <c:idx val="0"/>
          <c:order val="0"/>
          <c:explosion val="0"/>
          <c:dPt>
            <c:idx val="0"/>
            <c:bubble3D val="0"/>
          </c:dPt>
          <c:dLbls>
            <c:spPr>
              <a:noFill/>
              <a:ln>
                <a:noFill/>
              </a:ln>
              <a:effectLst/>
            </c:spPr>
            <c:txPr>
              <a:bodyPr rot="0" spcFirstLastPara="0" vertOverflow="ellipsis" vert="horz" wrap="square" lIns="38100" tIns="19050" rIns="38100" bIns="19050" anchor="ctr" anchorCtr="1"/>
              <a:lstStyle/>
              <a:p>
                <a:pPr>
                  <a:defRPr lang="zh-CN" sz="1000" b="0" i="0" u="none" strike="noStrike" kern="1200" baseline="0">
                    <a:solidFill>
                      <a:schemeClr val="tx1"/>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ext>
            </c:extLst>
          </c:dLbls>
          <c:cat>
            <c:strRef>
              <c:f>[Book1.xlsx]Sheet1!$A$6</c:f>
              <c:strCache>
                <c:ptCount val="1"/>
                <c:pt idx="0">
                  <c:v>一般公共预算拨款收入</c:v>
                </c:pt>
              </c:strCache>
            </c:strRef>
          </c:cat>
          <c:val>
            <c:numRef>
              <c:f>[Book1.xlsx]Sheet1!$A$7</c:f>
              <c:numCache>
                <c:formatCode>0%</c:formatCode>
                <c:ptCount val="1"/>
                <c:pt idx="0">
                  <c:v>1</c:v>
                </c:pt>
              </c:numCache>
            </c:numRef>
          </c:val>
        </c:ser>
        <c:dLbls>
          <c:showLegendKey val="0"/>
          <c:showVal val="1"/>
          <c:showCatName val="0"/>
          <c:showSerName val="0"/>
          <c:showPercent val="0"/>
          <c:showBubbleSize val="0"/>
          <c:showLeaderLines val="1"/>
        </c:dLbls>
        <c:firstSliceAng val="0"/>
      </c:pieChart>
    </c:plotArea>
    <c:legend>
      <c:legendPos val="r"/>
      <c:layout>
        <c:manualLayout>
          <c:xMode val="edge"/>
          <c:yMode val="edge"/>
          <c:x val="0.700737532808399"/>
          <c:y val="0.0547878390201225"/>
          <c:w val="0.236068022747157"/>
          <c:h val="0.307090988626422"/>
        </c:manualLayout>
      </c:layout>
      <c:overlay val="0"/>
      <c:txPr>
        <a:bodyPr rot="0" spcFirstLastPara="0" vertOverflow="ellipsis" vert="horz" wrap="square" anchor="ctr" anchorCtr="1"/>
        <a:lstStyle/>
        <a:p>
          <a:pPr>
            <a:defRPr lang="zh-CN" sz="1000" b="0" i="0" u="none" strike="noStrike" kern="1200" baseline="0">
              <a:solidFill>
                <a:schemeClr val="tx1"/>
              </a:solidFill>
              <a:latin typeface="+mn-lt"/>
              <a:ea typeface="+mn-ea"/>
              <a:cs typeface="+mn-cs"/>
            </a:defRPr>
          </a:pPr>
        </a:p>
      </c:txPr>
    </c:legend>
    <c:plotVisOnly val="1"/>
    <c:dispBlanksAs val="gap"/>
    <c:showDLblsOverMax val="0"/>
  </c:chart>
  <c:txPr>
    <a:bodyPr/>
    <a:lstStyle/>
    <a:p>
      <a:pPr>
        <a:defRPr lang="zh-CN"/>
      </a:pPr>
    </a:p>
  </c:txPr>
  <c:externalData r:id="rId1">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c:date1904 val="0"/>
  <c:lang val="zh-CN"/>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0" vertOverflow="ellipsis" vert="horz" wrap="square" anchor="ctr" anchorCtr="1"/>
          <a:lstStyle/>
          <a:p>
            <a:pPr defTabSz="914400">
              <a:defRPr lang="zh-CN" sz="1600" b="1" i="0" u="none" strike="noStrike" kern="1200" baseline="0">
                <a:solidFill>
                  <a:schemeClr val="tx2"/>
                </a:solidFill>
                <a:latin typeface="+mn-lt"/>
                <a:ea typeface="+mn-ea"/>
                <a:cs typeface="+mn-cs"/>
              </a:defRPr>
            </a:pPr>
            <a:r>
              <a:t>支出预算图</a:t>
            </a:r>
          </a:p>
        </c:rich>
      </c:tx>
      <c:layout/>
      <c:overlay val="0"/>
      <c:spPr>
        <a:noFill/>
        <a:ln>
          <a:noFill/>
        </a:ln>
        <a:effectLst/>
      </c:spPr>
    </c:title>
    <c:autoTitleDeleted val="0"/>
    <c:plotArea>
      <c:layout>
        <c:manualLayout>
          <c:layoutTarget val="inner"/>
          <c:xMode val="edge"/>
          <c:yMode val="edge"/>
          <c:x val="0.323816666666667"/>
          <c:y val="0.212958333333333"/>
          <c:w val="0.352366666666667"/>
          <c:h val="0.587277777777778"/>
        </c:manualLayout>
      </c:layout>
      <c:pieChart>
        <c:varyColors val="1"/>
        <c:ser>
          <c:idx val="1"/>
          <c:order val="0"/>
          <c:spPr/>
          <c:explosion val="0"/>
          <c:dPt>
            <c:idx val="0"/>
            <c:bubble3D val="0"/>
            <c:spPr>
              <a:gradFill rotWithShape="1">
                <a:gsLst>
                  <a:gs pos="0">
                    <a:schemeClr val="accent1">
                      <a:shade val="51000"/>
                      <a:satMod val="130000"/>
                    </a:schemeClr>
                  </a:gs>
                  <a:gs pos="80000">
                    <a:schemeClr val="accent1">
                      <a:shade val="93000"/>
                      <a:satMod val="130000"/>
                    </a:schemeClr>
                  </a:gs>
                  <a:gs pos="100000">
                    <a:schemeClr val="accent1">
                      <a:shade val="94000"/>
                      <a:satMod val="135000"/>
                    </a:schemeClr>
                  </a:gs>
                </a:gsLst>
                <a:lin ang="16200000" scaled="0"/>
              </a:gradFill>
              <a:ln>
                <a:noFill/>
              </a:ln>
              <a:effectLst>
                <a:outerShdw blurRad="40000" dist="23000" dir="5400000" rotWithShape="0">
                  <a:srgbClr val="000000">
                    <a:alpha val="35000"/>
                  </a:srgbClr>
                </a:outerShdw>
              </a:effectLst>
            </c:spPr>
          </c:dPt>
          <c:dPt>
            <c:idx val="1"/>
            <c:bubble3D val="0"/>
            <c:spPr>
              <a:gradFill rotWithShape="1">
                <a:gsLst>
                  <a:gs pos="0">
                    <a:schemeClr val="accent2">
                      <a:shade val="51000"/>
                      <a:satMod val="130000"/>
                    </a:schemeClr>
                  </a:gs>
                  <a:gs pos="80000">
                    <a:schemeClr val="accent2">
                      <a:shade val="93000"/>
                      <a:satMod val="130000"/>
                    </a:schemeClr>
                  </a:gs>
                  <a:gs pos="100000">
                    <a:schemeClr val="accent2">
                      <a:shade val="94000"/>
                      <a:satMod val="135000"/>
                    </a:schemeClr>
                  </a:gs>
                </a:gsLst>
                <a:lin ang="16200000" scaled="0"/>
              </a:gradFill>
              <a:ln>
                <a:noFill/>
              </a:ln>
              <a:effectLst>
                <a:outerShdw blurRad="40000" dist="23000" dir="5400000" rotWithShape="0">
                  <a:srgbClr val="000000">
                    <a:alpha val="35000"/>
                  </a:srgbClr>
                </a:outerShdw>
              </a:effectLst>
            </c:spPr>
          </c:dPt>
          <c:dPt>
            <c:idx val="2"/>
            <c:bubble3D val="0"/>
            <c:spPr>
              <a:gradFill rotWithShape="1">
                <a:gsLst>
                  <a:gs pos="0">
                    <a:schemeClr val="accent3">
                      <a:shade val="51000"/>
                      <a:satMod val="130000"/>
                    </a:schemeClr>
                  </a:gs>
                  <a:gs pos="80000">
                    <a:schemeClr val="accent3">
                      <a:shade val="93000"/>
                      <a:satMod val="130000"/>
                    </a:schemeClr>
                  </a:gs>
                  <a:gs pos="100000">
                    <a:schemeClr val="accent3">
                      <a:shade val="94000"/>
                      <a:satMod val="135000"/>
                    </a:schemeClr>
                  </a:gs>
                </a:gsLst>
                <a:lin ang="16200000" scaled="0"/>
              </a:gradFill>
              <a:ln>
                <a:noFill/>
              </a:ln>
              <a:effectLst>
                <a:outerShdw blurRad="40000" dist="23000" dir="5400000" rotWithShape="0">
                  <a:srgbClr val="000000">
                    <a:alpha val="35000"/>
                  </a:srgbClr>
                </a:outerShdw>
              </a:effectLst>
            </c:spPr>
          </c:dPt>
          <c:dPt>
            <c:idx val="3"/>
            <c:bubble3D val="0"/>
            <c:spPr>
              <a:gradFill rotWithShape="1">
                <a:gsLst>
                  <a:gs pos="0">
                    <a:schemeClr val="accent4">
                      <a:shade val="51000"/>
                      <a:satMod val="130000"/>
                    </a:schemeClr>
                  </a:gs>
                  <a:gs pos="80000">
                    <a:schemeClr val="accent4">
                      <a:shade val="93000"/>
                      <a:satMod val="130000"/>
                    </a:schemeClr>
                  </a:gs>
                  <a:gs pos="100000">
                    <a:schemeClr val="accent4">
                      <a:shade val="94000"/>
                      <a:satMod val="135000"/>
                    </a:schemeClr>
                  </a:gs>
                </a:gsLst>
                <a:lin ang="16200000" scaled="0"/>
              </a:gradFill>
              <a:ln>
                <a:noFill/>
              </a:ln>
              <a:effectLst>
                <a:outerShdw blurRad="40000" dist="23000" dir="5400000" rotWithShape="0">
                  <a:srgbClr val="000000">
                    <a:alpha val="35000"/>
                  </a:srgbClr>
                </a:outerShdw>
              </a:effectLst>
            </c:spPr>
          </c:dPt>
          <c:dLbls>
            <c:spPr>
              <a:solidFill>
                <a:srgbClr val="FFFF00"/>
              </a:solidFill>
              <a:ln>
                <a:noFill/>
              </a:ln>
              <a:effectLst/>
            </c:spPr>
            <c:txPr>
              <a:bodyPr rot="0" spcFirstLastPara="0" vertOverflow="ellipsis" vert="horz" wrap="square" lIns="38100" tIns="19050" rIns="38100" bIns="19050" anchor="ctr" anchorCtr="1"/>
              <a:lstStyle/>
              <a:p>
                <a:pPr>
                  <a:defRPr lang="zh-CN" sz="900" b="0" i="0" u="none" strike="noStrike" kern="1200" baseline="0">
                    <a:solidFill>
                      <a:schemeClr val="tx2"/>
                    </a:solidFill>
                    <a:latin typeface="+mn-lt"/>
                    <a:ea typeface="+mn-ea"/>
                    <a:cs typeface="+mn-cs"/>
                  </a:defRPr>
                </a:pPr>
              </a:p>
            </c:txPr>
            <c:dLblPos val="bestFit"/>
            <c:showLegendKey val="0"/>
            <c:showVal val="1"/>
            <c:showCatName val="0"/>
            <c:showSerName val="0"/>
            <c:showPercent val="0"/>
            <c:showBubbleSize val="0"/>
            <c:showLeaderLines val="1"/>
            <c:extLst>
              <c:ext xmlns:c15="http://schemas.microsoft.com/office/drawing/2012/chart" uri="{CE6537A1-D6FC-4f65-9D91-7224C49458BB}">
                <c15:layout/>
                <c15:showLeaderLines val="1"/>
                <c15:leaderLines>
                  <c:spPr>
                    <a:ln w="9525">
                      <a:solidFill>
                        <a:schemeClr val="tx2">
                          <a:lumMod val="35000"/>
                          <a:lumOff val="65000"/>
                        </a:schemeClr>
                      </a:solidFill>
                    </a:ln>
                    <a:effectLst/>
                  </c:spPr>
                </c15:leaderLines>
              </c:ext>
            </c:extLst>
          </c:dLbls>
          <c:cat>
            <c:strRef>
              <c:f>[图表.xlsx]Sheet2!$A$3:$D$3</c:f>
              <c:strCache>
                <c:ptCount val="4"/>
                <c:pt idx="0">
                  <c:v>一般公共服务支出</c:v>
                </c:pt>
                <c:pt idx="1">
                  <c:v>社会保障和就业支出</c:v>
                </c:pt>
                <c:pt idx="2">
                  <c:v>卫生健康支出</c:v>
                </c:pt>
                <c:pt idx="3">
                  <c:v>住房保障支出</c:v>
                </c:pt>
              </c:strCache>
            </c:strRef>
          </c:cat>
          <c:val>
            <c:numRef>
              <c:f>[图表.xlsx]Sheet2!$A$4:$D$4</c:f>
              <c:numCache>
                <c:formatCode>0.00%</c:formatCode>
                <c:ptCount val="4"/>
                <c:pt idx="0">
                  <c:v>0.7985</c:v>
                </c:pt>
                <c:pt idx="1">
                  <c:v>0.1123</c:v>
                </c:pt>
                <c:pt idx="2">
                  <c:v>0.0343</c:v>
                </c:pt>
                <c:pt idx="3">
                  <c:v>0.0549</c:v>
                </c:pt>
              </c:numCache>
            </c:numRef>
          </c:val>
        </c:ser>
        <c:dLbls>
          <c:showLegendKey val="0"/>
          <c:showVal val="1"/>
          <c:showCatName val="0"/>
          <c:showSerName val="0"/>
          <c:showPercent val="0"/>
          <c:showBubbleSize val="0"/>
          <c:showLeaderLines val="1"/>
        </c:dLbls>
        <c:firstSliceAng val="0"/>
      </c:pieChart>
      <c:spPr>
        <a:noFill/>
        <a:ln>
          <a:noFill/>
        </a:ln>
        <a:effectLst/>
      </c:spPr>
    </c:plotArea>
    <c:legend>
      <c:legendPos val="b"/>
      <c:layout/>
      <c:overlay val="0"/>
      <c:spPr>
        <a:noFill/>
        <a:ln>
          <a:noFill/>
        </a:ln>
        <a:effectLst/>
      </c:spPr>
      <c:txPr>
        <a:bodyPr rot="0" spcFirstLastPara="0" vertOverflow="ellipsis" vert="horz" wrap="square" anchor="ctr" anchorCtr="1"/>
        <a:lstStyle/>
        <a:p>
          <a:pPr>
            <a:defRPr lang="zh-CN" sz="900" b="0" i="0" u="none" strike="noStrike" kern="1200" baseline="0">
              <a:solidFill>
                <a:schemeClr val="tx2"/>
              </a:solidFill>
              <a:latin typeface="+mn-lt"/>
              <a:ea typeface="+mn-ea"/>
              <a:cs typeface="+mn-cs"/>
            </a:defRPr>
          </a:pPr>
        </a:p>
      </c:txPr>
    </c:legend>
    <c:plotVisOnly val="1"/>
    <c:dispBlanksAs val="gap"/>
    <c:showDLblsOverMax val="0"/>
  </c:chart>
  <c:spPr>
    <a:solidFill>
      <a:schemeClr val="bg1"/>
    </a:solidFill>
    <a:ln w="9525" cap="flat" cmpd="sng" algn="ctr">
      <a:solidFill>
        <a:schemeClr val="accent1"/>
      </a:solidFill>
      <a:round/>
    </a:ln>
    <a:effectLst/>
  </c:spPr>
  <c:txPr>
    <a:bodyPr/>
    <a:lstStyle/>
    <a:p>
      <a:pPr>
        <a:defRPr lang="zh-CN"/>
      </a:pPr>
    </a:p>
  </c:txPr>
  <c:externalData r:id="rId1">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55">
  <cs:axisTitle>
    <cs:lnRef idx="0"/>
    <cs:fillRef idx="0"/>
    <cs:effectRef idx="0"/>
    <cs:fontRef idx="minor">
      <a:schemeClr val="tx2"/>
    </cs:fontRef>
    <cs:defRPr sz="900" b="1" kern="1200"/>
  </cs:axisTitle>
  <cs:categoryAxis>
    <cs:lnRef idx="0"/>
    <cs:fillRef idx="0"/>
    <cs:effectRef idx="0"/>
    <cs:fontRef idx="minor">
      <a:schemeClr val="tx2"/>
    </cs:fontRef>
    <cs:spPr>
      <a:ln w="9525" cap="flat" cmpd="sng" algn="ctr">
        <a:solidFill>
          <a:schemeClr val="tx2">
            <a:lumMod val="15000"/>
            <a:lumOff val="85000"/>
          </a:schemeClr>
        </a:solidFill>
        <a:round/>
      </a:ln>
    </cs:spPr>
    <cs:defRPr sz="900" kern="1200"/>
  </cs:categoryAxis>
  <cs:chartArea mods="allowNoFillOverride allowNoLineOverride">
    <cs:lnRef idx="0"/>
    <cs:fillRef idx="0"/>
    <cs:effectRef idx="0"/>
    <cs:fontRef idx="minor">
      <a:schemeClr val="tx2"/>
    </cs:fontRef>
    <cs:spPr>
      <a:solidFill>
        <a:schemeClr val="bg1"/>
      </a:solidFill>
      <a:ln w="9525" cap="flat" cmpd="sng" algn="ctr">
        <a:solidFill>
          <a:schemeClr val="tx2">
            <a:lumMod val="15000"/>
            <a:lumOff val="85000"/>
          </a:schemeClr>
        </a:solidFill>
        <a:round/>
      </a:ln>
    </cs:spPr>
    <cs:defRPr sz="900" kern="1200"/>
  </cs:chartArea>
  <cs:dataLabel>
    <cs:lnRef idx="0"/>
    <cs:fillRef idx="0"/>
    <cs:effectRef idx="0"/>
    <cs:fontRef idx="minor">
      <a:schemeClr val="tx2"/>
    </cs:fontRef>
    <cs:defRPr sz="900" kern="1200"/>
  </cs:dataLabel>
  <cs:dataLabelCallout>
    <cs:lnRef idx="0"/>
    <cs:fillRef idx="0"/>
    <cs:effectRef idx="0"/>
    <cs:fontRef idx="minor">
      <a:schemeClr val="dk2">
        <a:lumMod val="7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3">
      <cs:styleClr val="auto"/>
    </cs:fillRef>
    <cs:effectRef idx="2"/>
    <cs:fontRef idx="minor">
      <a:schemeClr val="tx2"/>
    </cs:fontRef>
  </cs:dataPoint>
  <cs:dataPoint3D>
    <cs:lnRef idx="0"/>
    <cs:fillRef idx="3">
      <cs:styleClr val="auto"/>
    </cs:fillRef>
    <cs:effectRef idx="2"/>
    <cs:fontRef idx="minor">
      <a:schemeClr val="tx2"/>
    </cs:fontRef>
  </cs:dataPoint3D>
  <cs:dataPointLine>
    <cs:lnRef idx="0">
      <cs:styleClr val="auto"/>
    </cs:lnRef>
    <cs:fillRef idx="3"/>
    <cs:effectRef idx="2"/>
    <cs:fontRef idx="minor">
      <a:schemeClr val="tx2"/>
    </cs:fontRef>
    <cs:spPr>
      <a:ln w="31750" cap="rnd">
        <a:solidFill>
          <a:schemeClr val="phClr"/>
        </a:solidFill>
        <a:round/>
      </a:ln>
    </cs:spPr>
  </cs:dataPointLine>
  <cs:dataPointMarker>
    <cs:lnRef idx="0"/>
    <cs:fillRef idx="3">
      <cs:styleClr val="auto"/>
    </cs:fillRef>
    <cs:effectRef idx="2"/>
    <cs:fontRef idx="minor">
      <a:schemeClr val="tx2"/>
    </cs:fontRef>
    <cs:spPr>
      <a:ln w="12700">
        <a:solidFill>
          <a:schemeClr val="lt2"/>
        </a:solidFill>
        <a:round/>
      </a:ln>
    </cs:spPr>
  </cs:dataPointMarker>
  <cs:dataPointMarkerLayout symbol="circle" size="6"/>
  <cs:dataPointWireframe>
    <cs:lnRef idx="0">
      <cs:styleClr val="auto"/>
    </cs:lnRef>
    <cs:fillRef idx="3"/>
    <cs:effectRef idx="2"/>
    <cs:fontRef idx="minor">
      <a:schemeClr val="tx2"/>
    </cs:fontRef>
    <cs:spPr>
      <a:ln w="9525" cap="rnd">
        <a:solidFill>
          <a:schemeClr val="phClr"/>
        </a:solidFill>
        <a:round/>
      </a:ln>
    </cs:spPr>
  </cs:dataPointWireframe>
  <cs:dataTable>
    <cs:lnRef idx="0"/>
    <cs:fillRef idx="0"/>
    <cs:effectRef idx="0"/>
    <cs:fontRef idx="minor">
      <a:schemeClr val="tx2"/>
    </cs:fontRef>
    <cs:spPr>
      <a:ln w="9525">
        <a:solidFill>
          <a:schemeClr val="tx2">
            <a:lumMod val="15000"/>
            <a:lumOff val="85000"/>
          </a:schemeClr>
        </a:solidFill>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2"/>
    </cs:fontRef>
    <cs:spPr>
      <a:ln w="9525">
        <a:solidFill>
          <a:schemeClr val="tx2">
            <a:lumMod val="60000"/>
            <a:lumOff val="40000"/>
          </a:schemeClr>
        </a:solidFill>
        <a:prstDash val="dash"/>
      </a:ln>
    </cs:spPr>
  </cs:dropLine>
  <cs:errorBar>
    <cs:lnRef idx="0"/>
    <cs:fillRef idx="0"/>
    <cs:effectRef idx="0"/>
    <cs:fontRef idx="minor">
      <a:schemeClr val="tx2"/>
    </cs:fontRef>
    <cs:spPr>
      <a:ln w="9525">
        <a:solidFill>
          <a:schemeClr val="tx2">
            <a:lumMod val="75000"/>
          </a:schemeClr>
        </a:solidFill>
        <a:round/>
      </a:ln>
    </cs:spPr>
  </cs:errorBar>
  <cs:floor>
    <cs:lnRef idx="0"/>
    <cs:fillRef idx="0"/>
    <cs:effectRef idx="0"/>
    <cs:fontRef idx="minor">
      <a:schemeClr val="tx2"/>
    </cs:fontRef>
  </cs:floor>
  <cs:gridlineMajor>
    <cs:lnRef idx="0"/>
    <cs:fillRef idx="0"/>
    <cs:effectRef idx="0"/>
    <cs:fontRef idx="minor">
      <a:schemeClr val="tx2"/>
    </cs:fontRef>
    <cs:spPr>
      <a:ln w="9525" cap="flat" cmpd="sng" algn="ctr">
        <a:solidFill>
          <a:schemeClr val="tx2">
            <a:lumMod val="15000"/>
            <a:lumOff val="85000"/>
          </a:schemeClr>
        </a:solidFill>
        <a:round/>
      </a:ln>
    </cs:spPr>
  </cs:gridlineMajor>
  <cs:gridlineMinor>
    <cs:lnRef idx="0"/>
    <cs:fillRef idx="0"/>
    <cs:effectRef idx="0"/>
    <cs:fontRef idx="minor">
      <a:schemeClr val="tx2"/>
    </cs:fontRef>
    <cs:spPr>
      <a:ln>
        <a:solidFill>
          <a:schemeClr val="tx2">
            <a:lumMod val="5000"/>
            <a:lumOff val="95000"/>
          </a:schemeClr>
        </a:solidFill>
      </a:ln>
    </cs:spPr>
  </cs:gridlineMinor>
  <cs:hiLoLine>
    <cs:lnRef idx="0"/>
    <cs:fillRef idx="0"/>
    <cs:effectRef idx="0"/>
    <cs:fontRef idx="minor">
      <a:schemeClr val="tx2"/>
    </cs:fontRef>
    <cs:spPr>
      <a:ln w="9525">
        <a:solidFill>
          <a:schemeClr val="tx2">
            <a:lumMod val="60000"/>
            <a:lumOff val="40000"/>
          </a:schemeClr>
        </a:solidFill>
        <a:prstDash val="dash"/>
      </a:ln>
    </cs:spPr>
  </cs:hiLoLine>
  <cs:leaderLine>
    <cs:lnRef idx="0"/>
    <cs:fillRef idx="0"/>
    <cs:effectRef idx="0"/>
    <cs:fontRef idx="minor">
      <a:schemeClr val="tx2"/>
    </cs:fontRef>
    <cs:spPr>
      <a:ln w="9525">
        <a:solidFill>
          <a:schemeClr val="tx2">
            <a:lumMod val="35000"/>
            <a:lumOff val="65000"/>
          </a:schemeClr>
        </a:solidFill>
      </a:ln>
    </cs:spPr>
  </cs:leaderLine>
  <cs:legend>
    <cs:lnRef idx="0"/>
    <cs:fillRef idx="0"/>
    <cs:effectRef idx="0"/>
    <cs:fontRef idx="minor">
      <a:schemeClr val="tx2"/>
    </cs:fontRef>
    <cs:defRPr sz="900" kern="1200"/>
  </cs:legend>
  <cs:plotArea>
    <cs:lnRef idx="0"/>
    <cs:fillRef idx="0"/>
    <cs:effectRef idx="0"/>
    <cs:fontRef idx="minor">
      <a:schemeClr val="tx2"/>
    </cs:fontRef>
  </cs:plotArea>
  <cs:plotArea3D>
    <cs:lnRef idx="0"/>
    <cs:fillRef idx="0"/>
    <cs:effectRef idx="0"/>
    <cs:fontRef idx="minor">
      <a:schemeClr val="tx2"/>
    </cs:fontRef>
  </cs:plotArea3D>
  <cs:seriesAxis>
    <cs:lnRef idx="0"/>
    <cs:fillRef idx="0"/>
    <cs:effectRef idx="0"/>
    <cs:fontRef idx="minor">
      <a:schemeClr val="tx2"/>
    </cs:fontRef>
    <cs:spPr>
      <a:ln w="9525" cap="flat" cmpd="sng" algn="ctr">
        <a:solidFill>
          <a:schemeClr val="tx2">
            <a:lumMod val="15000"/>
            <a:lumOff val="85000"/>
          </a:schemeClr>
        </a:solidFill>
        <a:round/>
      </a:ln>
    </cs:spPr>
    <cs:defRPr sz="900" kern="1200"/>
  </cs:seriesAxis>
  <cs:seriesLine>
    <cs:lnRef idx="0"/>
    <cs:fillRef idx="0"/>
    <cs:effectRef idx="0"/>
    <cs:fontRef idx="minor">
      <a:schemeClr val="tx2"/>
    </cs:fontRef>
    <cs:spPr>
      <a:ln w="9525">
        <a:solidFill>
          <a:schemeClr val="tx2">
            <a:lumMod val="60000"/>
            <a:lumOff val="40000"/>
          </a:schemeClr>
        </a:solidFill>
        <a:prstDash val="dash"/>
      </a:ln>
    </cs:spPr>
  </cs:seriesLine>
  <cs:title>
    <cs:lnRef idx="0"/>
    <cs:fillRef idx="0"/>
    <cs:effectRef idx="0"/>
    <cs:fontRef idx="minor">
      <a:schemeClr val="tx2"/>
    </cs:fontRef>
    <cs:defRPr sz="1600" b="1" kern="1200"/>
  </cs:title>
  <cs:trendline>
    <cs:lnRef idx="0">
      <cs:styleClr val="auto"/>
    </cs:lnRef>
    <cs:fillRef idx="0"/>
    <cs:effectRef idx="0"/>
    <cs:fontRef idx="minor">
      <a:schemeClr val="tx2"/>
    </cs:fontRef>
    <cs:spPr>
      <a:ln w="19050" cap="rnd">
        <a:solidFill>
          <a:schemeClr val="phClr"/>
        </a:solidFill>
        <a:prstDash val="sysDash"/>
      </a:ln>
    </cs:spPr>
  </cs:trendline>
  <cs:trendlineLabel>
    <cs:lnRef idx="0"/>
    <cs:fillRef idx="0"/>
    <cs:effectRef idx="0"/>
    <cs:fontRef idx="minor">
      <a:schemeClr val="tx2"/>
    </cs:fontRef>
    <cs:defRPr sz="900" kern="1200"/>
  </cs:trendlineLabel>
  <cs:upBar>
    <cs:lnRef idx="0"/>
    <cs:fillRef idx="0"/>
    <cs:effectRef idx="0"/>
    <cs:fontRef idx="minor">
      <a:schemeClr val="tx2"/>
    </cs:fontRef>
    <cs:spPr>
      <a:solidFill>
        <a:schemeClr val="lt1"/>
      </a:solidFill>
      <a:ln w="9525">
        <a:solidFill>
          <a:schemeClr val="tx1">
            <a:lumMod val="15000"/>
            <a:lumOff val="85000"/>
          </a:schemeClr>
        </a:solidFill>
      </a:ln>
    </cs:spPr>
  </cs:upBar>
  <cs:valueAxis>
    <cs:lnRef idx="0"/>
    <cs:fillRef idx="0"/>
    <cs:effectRef idx="0"/>
    <cs:fontRef idx="minor">
      <a:schemeClr val="tx2"/>
    </cs:fontRef>
    <cs:defRPr sz="900" kern="1200"/>
  </cs:valueAxis>
  <cs:wall>
    <cs:lnRef idx="0"/>
    <cs:fillRef idx="0"/>
    <cs:effectRef idx="0"/>
    <cs:fontRef idx="minor">
      <a:schemeClr val="tx2"/>
    </cs:fontRef>
  </cs:wall>
</cs:chartStyle>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12</Pages>
  <Words>3720</Words>
  <Characters>4003</Characters>
  <Lines>0</Lines>
  <Paragraphs>0</Paragraphs>
  <TotalTime>6</TotalTime>
  <ScaleCrop>false</ScaleCrop>
  <LinksUpToDate>false</LinksUpToDate>
  <CharactersWithSpaces>4009</CharactersWithSpaces>
  <Application>WPS Office_11.1.0.10356_F1E327BC-269C-435d-A152-05C5408002CA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2024-05-22T14:39:00Z</dcterms:created>
  <dc:creator>dell</dc:creator>
  <cp:lastModifiedBy>Administrator</cp:lastModifiedBy>
  <dcterms:modified xsi:type="dcterms:W3CDTF">2024-06-03T15:18:12Z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2052-11.1.0.10356</vt:lpwstr>
  </property>
  <property fmtid="{D5CDD505-2E9C-101B-9397-08002B2CF9AE}" pid="3" name="ICV">
    <vt:lpwstr>AA6161384DF4417F82CE6AEF8ABCBB2E_11</vt:lpwstr>
  </property>
</Properties>
</file>