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岳阳市君山区商务粮食局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（一）职能职责</w:t>
      </w:r>
    </w:p>
    <w:p>
      <w:pPr>
        <w:spacing w:line="570" w:lineRule="atLeast"/>
        <w:ind w:firstLine="640" w:firstLineChars="200"/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</w:rPr>
      </w:pP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</w:rPr>
        <w:t>区商务粮食局由原区商务局和区粮食局组建而成，负责全区外经、外贸、商业物资流通、对处商务和全区粮食工作的具体管理。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（二）机构设置</w:t>
      </w:r>
    </w:p>
    <w:p>
      <w:pPr>
        <w:spacing w:line="570" w:lineRule="atLeast"/>
        <w:ind w:firstLine="640" w:firstLineChars="200"/>
        <w:rPr>
          <w:rFonts w:hint="eastAsia" w:asciiTheme="minorEastAsia" w:hAnsi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</w:rPr>
        <w:t>区商务粮食局设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内设机构（股室）7个，二级机构事业单位1个。内设机构包括：</w:t>
      </w: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</w:rPr>
        <w:t>办公室、财务审计股、法规监督信访股、粮食和物质储备股、内贸服务股、外贸服务股（电子商务股）、成品油管理股，局</w:t>
      </w: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  <w:lang w:val="en-US" w:eastAsia="zh-CN"/>
        </w:rPr>
        <w:t>在职</w:t>
      </w: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</w:rPr>
        <w:t>人数</w:t>
      </w: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  <w:lang w:val="en-US" w:eastAsia="zh-CN"/>
        </w:rPr>
        <w:t>15</w:t>
      </w: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</w:rPr>
        <w:t>人</w:t>
      </w: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事业单位包括：</w:t>
      </w: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</w:rPr>
        <w:t>市场建设服务中心，现有人数</w:t>
      </w: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  <w:lang w:val="en-US" w:eastAsia="zh-CN"/>
        </w:rPr>
        <w:t>6</w:t>
      </w:r>
      <w:r>
        <w:rPr>
          <w:rFonts w:hint="eastAsia" w:ascii="仿宋_GB2312" w:hAnsi="华文细黑" w:eastAsia="仿宋_GB2312" w:cs="华文细黑"/>
          <w:color w:val="333333"/>
          <w:kern w:val="0"/>
          <w:sz w:val="32"/>
          <w:szCs w:val="32"/>
        </w:rPr>
        <w:t>人。</w:t>
      </w:r>
      <w:r>
        <w:rPr>
          <w:rFonts w:hint="eastAsia" w:asciiTheme="minorEastAsia" w:hAnsiTheme="minorEastAsia" w:cstheme="minorEastAsia"/>
          <w:sz w:val="28"/>
          <w:szCs w:val="28"/>
          <w:highlight w:val="none"/>
          <w:lang w:val="en-US" w:eastAsia="zh-CN"/>
        </w:rPr>
        <w:t xml:space="preserve">  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本部门预算为汇总预算，纳入2024年部门预算编制范围的预算单位包括：</w:t>
      </w:r>
    </w:p>
    <w:p>
      <w:pPr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1.</w:t>
      </w:r>
      <w:r>
        <w:rPr>
          <w:rFonts w:hint="eastAsia" w:ascii="仿宋" w:hAnsi="仿宋" w:eastAsia="仿宋" w:cs="仿宋"/>
          <w:sz w:val="30"/>
          <w:szCs w:val="30"/>
        </w:rPr>
        <w:t>岳阳市君山区商务粮食局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2.</w:t>
      </w:r>
      <w:r>
        <w:rPr>
          <w:rFonts w:hint="eastAsia" w:ascii="仿宋" w:hAnsi="仿宋" w:eastAsia="仿宋" w:cs="仿宋"/>
          <w:sz w:val="30"/>
          <w:szCs w:val="30"/>
        </w:rPr>
        <w:t>岳阳市君山区市场建设服务中心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  <w:t>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15、16、17、18、19表均为空。</w:t>
      </w:r>
    </w:p>
    <w:p>
      <w:pPr>
        <w:widowControl/>
        <w:spacing w:line="600" w:lineRule="exact"/>
        <w:ind w:firstLine="630" w:firstLineChars="196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部门收入预算443.09万元，其中，一般公共预算拨款443.09万元，政府性基金预算资金0.00万元(所以部门预算公开表15-17表为空)，国有资本经营预算资金0.00万元(所以部门预算公开表18表为空)，财政专户管理资金0.00万元(所以部门预算公开表19表为空)，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级补助收入资金0.00万元，事业单位经营收入资金0.00万元，上年结转结余0.00万元。收入较去年减少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97.95万元，下降18.10%。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主要原因是</w:t>
      </w:r>
      <w:r>
        <w:rPr>
          <w:rFonts w:hint="eastAsia" w:eastAsia="仿宋_GB2312"/>
          <w:sz w:val="32"/>
          <w:szCs w:val="32"/>
        </w:rPr>
        <w:t>人员减少，坚持厉行节约反对浪费的要求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，压减预算开支，从而导致项目资金减少。</w:t>
      </w:r>
    </w:p>
    <w:p>
      <w:pPr>
        <w:numPr>
          <w:ilvl w:val="0"/>
          <w:numId w:val="0"/>
        </w:numPr>
        <w:spacing w:line="570" w:lineRule="atLeast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widowControl/>
        <w:spacing w:line="600" w:lineRule="exact"/>
        <w:ind w:firstLine="630" w:firstLineChars="196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2024年本部门支出预算443.09万元，其中：一般公共服务支出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375.89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万元，社会保障和就业支出42.73万元，卫生健康支出9.67万元，住房保障支出14.80万元。支出较上年减少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97.95万元，下降18.10%。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主要原因是</w:t>
      </w:r>
      <w:r>
        <w:rPr>
          <w:rFonts w:hint="eastAsia" w:eastAsia="仿宋_GB2312"/>
          <w:sz w:val="32"/>
          <w:szCs w:val="32"/>
        </w:rPr>
        <w:t>人员减少，坚持厉行节约反对浪费的要求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，压减预算开支，从而导致项目资金减少。</w:t>
      </w:r>
    </w:p>
    <w:p>
      <w:pPr>
        <w:numPr>
          <w:ilvl w:val="0"/>
          <w:numId w:val="0"/>
        </w:numPr>
        <w:spacing w:line="570" w:lineRule="atLeast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72000" cy="3086100"/>
            <wp:effectExtent l="4445" t="4445" r="14605" b="14605"/>
            <wp:docPr id="2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一般公共预算拨款支出443.09万元，其中：一般公共服务支出375.89万元，占84.83%；社会保障和就业支出42.73万元，占9.65%；卫生健康支出9.67万元，占2.18%；住房保障支出14.80万元，占3.34%。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2024年本部门基本支出预算数259.48万元，主要是为保障部门正常运转、完成日常工作任务而发生的各项支出，包括用于基本工资、津贴补贴等人员经费以及办公费、印刷费、水电费、办公设备购置等公用经费。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hint="default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项目支出预算183.61万元，主要是本部门为完成特定工作任务或事业发展目标而发生的支出，包括有关事业发展专项、专项业务费、基本建设支出等，其中：一般公共服务支出183.61万元，主要用于商贸工作、粮食储备轮换工作及业务工作运转等方面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2024年度本部门无政府性基金安排的支出，所以公开的附件15-17表（政府性基金预算）为空。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2024年本部门机关本级、二级机构2家单位的机关运行经费22.79万元，比上年预算减不14.86万元，下降39.47%。主要原因是厉行节约，压缩了公用经费预算支出。</w:t>
      </w:r>
    </w:p>
    <w:p>
      <w:pPr>
        <w:spacing w:line="570" w:lineRule="atLeast"/>
        <w:ind w:firstLine="643" w:firstLineChars="200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2024年本部门机关本级、二级机构2家单位“三公”经费预算数为22万元，其中，公务接待费22万元，公务用车购置及运行费0万元（其中，公务用车购置费0万元，公务用车运行费0万元），因公出国（境）费0万元。2024年“三公”经费预算较2023年增加19.84万元，主要原因是</w:t>
      </w:r>
      <w:bookmarkStart w:id="0" w:name="DIS_MARK_IS_ZERO_06_2"/>
      <w:bookmarkEnd w:id="0"/>
      <w:bookmarkStart w:id="1" w:name="END_IS_ZERO_06_2"/>
      <w:bookmarkEnd w:id="1"/>
      <w:bookmarkStart w:id="2" w:name="START_IS_ZERO_06_2"/>
      <w:bookmarkEnd w:id="2"/>
      <w:bookmarkStart w:id="3" w:name="END_IS_ZERO_06_1"/>
      <w:bookmarkEnd w:id="3"/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由于机构改革，投促中心划转至本单位，增加招商职能，因此公务接待费预算增加。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yellow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2024年本部门会议费预算0万元，拟召开0次会议，人数0人；培训费预算0万元，拟开展0次培训，人数0人；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2024年度本部门未计划举办节庆、晚会、论坛、赛事活动。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2024年本部门政府采购预算总额23.20万元，其中，货物类采购预算10万元；工程类采购预算0万元；服务类采购预算13.2万元。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2024年拟新增配置公务用车0辆，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其中，机要通信用车0辆，应急保障用车0辆，执法执勤用车0辆，特种专业技术用车0辆，其他按照规定配备的公务用车0辆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；新增配备单位价值50万元以上设备0台，其中，单位价值100万元以上设备0台。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本部门所有支出实行绩效目标管理。纳入2024年部门整体支出绩效目标的金额为443.09万元，其中，基本支出259.48万元，项目支出183.61万元，具体绩效目标详见文尾附表中部门预算公开表21-2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spacing w:line="570" w:lineRule="atLeast"/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both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Theme="minorEastAsia" w:hAnsiTheme="minorEastAsia" w:eastAsiaTheme="minorEastAsia" w:cstheme="minorEastAsia"/>
          <w:sz w:val="28"/>
          <w:szCs w:val="28"/>
        </w:rPr>
      </w:pPr>
      <w:bookmarkStart w:id="4" w:name="_GoBack"/>
      <w:bookmarkEnd w:id="4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附件：岳阳市君山区商务粮食局2024年部门预算公开表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both"/>
        <w:textAlignment w:val="center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0CA613C"/>
    <w:rsid w:val="010D1261"/>
    <w:rsid w:val="012D0479"/>
    <w:rsid w:val="01B12E58"/>
    <w:rsid w:val="04497378"/>
    <w:rsid w:val="05170088"/>
    <w:rsid w:val="05974297"/>
    <w:rsid w:val="066547B5"/>
    <w:rsid w:val="0794481D"/>
    <w:rsid w:val="07AA55D1"/>
    <w:rsid w:val="07F615C4"/>
    <w:rsid w:val="0BC81D71"/>
    <w:rsid w:val="0BD240F7"/>
    <w:rsid w:val="0BE856C8"/>
    <w:rsid w:val="0C0B585A"/>
    <w:rsid w:val="0C923A83"/>
    <w:rsid w:val="0E5B42C5"/>
    <w:rsid w:val="0E611762"/>
    <w:rsid w:val="0EF820C6"/>
    <w:rsid w:val="112B4160"/>
    <w:rsid w:val="11A2545A"/>
    <w:rsid w:val="123D6042"/>
    <w:rsid w:val="13001549"/>
    <w:rsid w:val="167C1082"/>
    <w:rsid w:val="16FB76F0"/>
    <w:rsid w:val="175A2F86"/>
    <w:rsid w:val="18E84F59"/>
    <w:rsid w:val="1AE24429"/>
    <w:rsid w:val="1C6F6CFF"/>
    <w:rsid w:val="1C744CBF"/>
    <w:rsid w:val="1ECC4DAF"/>
    <w:rsid w:val="1F8F2DF1"/>
    <w:rsid w:val="1FBB33C8"/>
    <w:rsid w:val="20CE0ED9"/>
    <w:rsid w:val="224A0A33"/>
    <w:rsid w:val="22AA14D2"/>
    <w:rsid w:val="232333DF"/>
    <w:rsid w:val="26F96584"/>
    <w:rsid w:val="29F00112"/>
    <w:rsid w:val="2B6761B2"/>
    <w:rsid w:val="2C8B2374"/>
    <w:rsid w:val="2CCE400E"/>
    <w:rsid w:val="2CD84711"/>
    <w:rsid w:val="2D3A78E3"/>
    <w:rsid w:val="2F2443BA"/>
    <w:rsid w:val="2F4800A8"/>
    <w:rsid w:val="328F1D91"/>
    <w:rsid w:val="38B844C2"/>
    <w:rsid w:val="3A520F9D"/>
    <w:rsid w:val="3B742225"/>
    <w:rsid w:val="3BEF0D64"/>
    <w:rsid w:val="3E777A46"/>
    <w:rsid w:val="3FD414E4"/>
    <w:rsid w:val="436D70FC"/>
    <w:rsid w:val="47790D93"/>
    <w:rsid w:val="4AF62C56"/>
    <w:rsid w:val="4C0C0983"/>
    <w:rsid w:val="4C213D03"/>
    <w:rsid w:val="4CA0731E"/>
    <w:rsid w:val="4D602609"/>
    <w:rsid w:val="4DBA372C"/>
    <w:rsid w:val="4DF416CF"/>
    <w:rsid w:val="4E511DD4"/>
    <w:rsid w:val="4EE728E7"/>
    <w:rsid w:val="503B211C"/>
    <w:rsid w:val="50B52C6C"/>
    <w:rsid w:val="51AC406F"/>
    <w:rsid w:val="51B62990"/>
    <w:rsid w:val="51F85506"/>
    <w:rsid w:val="58D04AE7"/>
    <w:rsid w:val="5A581238"/>
    <w:rsid w:val="5A70032F"/>
    <w:rsid w:val="5B525B22"/>
    <w:rsid w:val="5BCD52BC"/>
    <w:rsid w:val="5DAE616B"/>
    <w:rsid w:val="5F50072F"/>
    <w:rsid w:val="613167EC"/>
    <w:rsid w:val="62CB7F2F"/>
    <w:rsid w:val="637274E6"/>
    <w:rsid w:val="67206C39"/>
    <w:rsid w:val="67F62F10"/>
    <w:rsid w:val="68675E30"/>
    <w:rsid w:val="695232F6"/>
    <w:rsid w:val="6D082649"/>
    <w:rsid w:val="6D6656CC"/>
    <w:rsid w:val="6DD943F4"/>
    <w:rsid w:val="6DE7565E"/>
    <w:rsid w:val="73626AED"/>
    <w:rsid w:val="73670A9D"/>
    <w:rsid w:val="73BF77DA"/>
    <w:rsid w:val="75D4756D"/>
    <w:rsid w:val="76BD6253"/>
    <w:rsid w:val="78CC0C1A"/>
    <w:rsid w:val="7A94376E"/>
    <w:rsid w:val="7C7F7F1A"/>
    <w:rsid w:val="7D6827D3"/>
    <w:rsid w:val="7D99109C"/>
    <w:rsid w:val="7F7678E7"/>
    <w:rsid w:val="7FC45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2270;&#3492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323816666666667"/>
          <c:y val="0.212958333333333"/>
          <c:w val="0.352366666666667"/>
          <c:h val="0.587277777777778"/>
        </c:manualLayout>
      </c:layout>
      <c:pieChart>
        <c:varyColors val="1"/>
        <c:ser>
          <c:idx val="1"/>
          <c:order val="0"/>
          <c:spPr/>
          <c:explosion val="0"/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3"/>
              <c:layout>
                <c:manualLayout>
                  <c:x val="0.0408202827095586"/>
                  <c:y val="-0.00179130797102269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solidFill>
                <a:srgbClr val="FFFF00"/>
              </a:solidFill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[图表.xlsx]Sheet2!$A$3:$D$3</c:f>
              <c:strCache>
                <c:ptCount val="4"/>
                <c:pt idx="0">
                  <c:v>一般公共服务支出</c:v>
                </c:pt>
                <c:pt idx="1">
                  <c:v>社会保障和就业支出</c:v>
                </c:pt>
                <c:pt idx="2">
                  <c:v>卫生健康支出</c:v>
                </c:pt>
                <c:pt idx="3">
                  <c:v>住房保障支出</c:v>
                </c:pt>
              </c:strCache>
            </c:strRef>
          </c:cat>
          <c:val>
            <c:numRef>
              <c:f>[图表.xlsx]Sheet2!$A$4:$D$4</c:f>
              <c:numCache>
                <c:formatCode>0.00%</c:formatCode>
                <c:ptCount val="4"/>
                <c:pt idx="0">
                  <c:v>0.848337809474373</c:v>
                </c:pt>
                <c:pt idx="1">
                  <c:v>0.0964589586765668</c:v>
                </c:pt>
                <c:pt idx="2">
                  <c:v>0.0218014398880589</c:v>
                </c:pt>
                <c:pt idx="3">
                  <c:v>0.0334017919610012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accent1"/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3505</Words>
  <Characters>3799</Characters>
  <Lines>0</Lines>
  <Paragraphs>0</Paragraphs>
  <TotalTime>13</TotalTime>
  <ScaleCrop>false</ScaleCrop>
  <LinksUpToDate>false</LinksUpToDate>
  <CharactersWithSpaces>3807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2024-06-21T15:01:00Z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CAA2FAB3E813434EAA6ECA2BD726DA5A_13</vt:lpwstr>
  </property>
</Properties>
</file>