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中共岳阳市君山区委办公室</w:t>
      </w:r>
    </w:p>
    <w:p>
      <w:pPr>
        <w:spacing w:line="570" w:lineRule="atLeast"/>
        <w:jc w:val="center"/>
        <w:rPr>
          <w:rFonts w:hint="eastAsia" w:ascii="黑体" w:hAnsi="黑体" w:eastAsia="黑体" w:cs="黑体"/>
          <w:b/>
          <w:bCs/>
          <w:sz w:val="48"/>
          <w:szCs w:val="48"/>
        </w:rPr>
      </w:pPr>
      <w:r>
        <w:rPr>
          <w:rFonts w:hint="eastAsia" w:ascii="方正小标宋简体" w:hAnsi="方正小标宋简体" w:eastAsia="方正小标宋简体" w:cs="方正小标宋简体"/>
          <w:b/>
          <w:bCs/>
          <w:sz w:val="44"/>
          <w:szCs w:val="44"/>
          <w:lang w:val="en-US" w:eastAsia="zh-CN"/>
        </w:rPr>
        <w:t>2024年部门预算公开</w:t>
      </w:r>
    </w:p>
    <w:p>
      <w:pP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Theme="minorEastAsia" w:hAnsiTheme="minorEastAsia" w:eastAsiaTheme="minorEastAsia" w:cstheme="minorEastAsia"/>
          <w:sz w:val="28"/>
          <w:szCs w:val="28"/>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asciiTheme="minorEastAsia" w:hAnsiTheme="minorEastAsia" w:eastAsia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heme="minorEastAsia" w:hAnsiTheme="minorEastAsia" w:eastAsiaTheme="minorEastAsia" w:cstheme="minorEastAsia"/>
          <w:b/>
          <w:bCs/>
          <w:sz w:val="28"/>
          <w:szCs w:val="28"/>
        </w:rPr>
      </w:pPr>
      <w:r>
        <w:rPr>
          <w:rFonts w:hint="eastAsia" w:ascii="Times New Roman" w:hAnsi="Times New Roman" w:eastAsia="方正小标宋_GBK" w:cs="Times New Roman"/>
          <w:b/>
          <w:bCs/>
          <w:kern w:val="0"/>
          <w:sz w:val="36"/>
          <w:szCs w:val="36"/>
        </w:rPr>
        <w:t>第一部分 部门预算公开说明</w:t>
      </w:r>
    </w:p>
    <w:p>
      <w:pPr>
        <w:ind w:firstLine="643" w:firstLineChars="200"/>
        <w:rPr>
          <w:rFonts w:hint="eastAsia" w:ascii="Times New Roman" w:hAnsi="Times New Roman" w:eastAsia="黑体" w:cs="Times New Roman"/>
          <w:b/>
          <w:bCs/>
          <w:kern w:val="0"/>
          <w:sz w:val="32"/>
          <w:szCs w:val="32"/>
        </w:rPr>
      </w:pPr>
    </w:p>
    <w:p>
      <w:pPr>
        <w:ind w:firstLine="643" w:firstLineChars="200"/>
        <w:rPr>
          <w:rFonts w:hint="eastAsia" w:asciiTheme="minorEastAsia" w:hAnsiTheme="minorEastAsia" w:eastAsiaTheme="minorEastAsia" w:cstheme="minorEastAsia"/>
          <w:b/>
          <w:bCs/>
          <w:sz w:val="28"/>
          <w:szCs w:val="28"/>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（一）职能职责</w:t>
      </w:r>
    </w:p>
    <w:p>
      <w:pPr>
        <w:widowControl/>
        <w:spacing w:line="600" w:lineRule="exact"/>
        <w:ind w:firstLine="627" w:firstLineChars="196"/>
        <w:rPr>
          <w:rFonts w:hint="eastAsia" w:eastAsia="仿宋_GB2312"/>
          <w:sz w:val="32"/>
          <w:szCs w:val="32"/>
        </w:rPr>
      </w:pPr>
      <w:r>
        <w:rPr>
          <w:rFonts w:hint="eastAsia" w:eastAsia="仿宋_GB2312"/>
          <w:sz w:val="32"/>
          <w:szCs w:val="32"/>
        </w:rPr>
        <w:t>区委办是区委的办事机构，是协助区委领导同志处理区委日常工作的机构。主要职责：</w:t>
      </w:r>
    </w:p>
    <w:p>
      <w:pPr>
        <w:widowControl/>
        <w:spacing w:line="600" w:lineRule="exact"/>
        <w:ind w:firstLine="627" w:firstLineChars="196"/>
        <w:rPr>
          <w:rFonts w:hint="eastAsia" w:eastAsia="仿宋_GB2312"/>
          <w:sz w:val="32"/>
          <w:szCs w:val="32"/>
        </w:rPr>
      </w:pPr>
      <w:r>
        <w:rPr>
          <w:rFonts w:hint="eastAsia" w:eastAsia="仿宋_GB2312"/>
          <w:sz w:val="32"/>
          <w:szCs w:val="32"/>
        </w:rPr>
        <w:t>1、负责区委日常文书的处理；围绕中央、省委、市委、区委总体工作部署收集信息、反映动态、综合调研；参与起草区委领导同志工作报告、讲话文稿；负责区委文件的起草、校核、把关及规范性文件的审核、备案、清理；负责中央和省、市、区委重大方针政策及重要工作部署的贯彻落实和督促检查；负责中央、省、市、区委及其领导同志重要批示的传达、催办、落实；负责区人大常委会、区政府、区政协的联络协调工作；负责区委重要会议的事务工作和区委领导同志参加重大活动的组织安排，负责全区重大会议活动的统筹协调工作；承担区委领导同志的联络服务工作。</w:t>
      </w:r>
    </w:p>
    <w:p>
      <w:pPr>
        <w:widowControl/>
        <w:spacing w:line="600" w:lineRule="exact"/>
        <w:ind w:firstLine="627" w:firstLineChars="196"/>
        <w:rPr>
          <w:rFonts w:hint="eastAsia" w:eastAsia="仿宋_GB2312"/>
          <w:sz w:val="32"/>
          <w:szCs w:val="32"/>
        </w:rPr>
      </w:pPr>
      <w:r>
        <w:rPr>
          <w:rFonts w:hint="eastAsia" w:eastAsia="仿宋_GB2312"/>
          <w:sz w:val="32"/>
          <w:szCs w:val="32"/>
        </w:rPr>
        <w:t>2、负责以区委名义向上级党组织请示报告工作的归口、把关工作；负责统筹、指导、督促全区党组织重大事项报告工作。</w:t>
      </w:r>
    </w:p>
    <w:p>
      <w:pPr>
        <w:widowControl/>
        <w:spacing w:line="600" w:lineRule="exact"/>
        <w:ind w:firstLine="627" w:firstLineChars="196"/>
        <w:rPr>
          <w:rFonts w:hint="eastAsia" w:eastAsia="仿宋_GB2312"/>
          <w:sz w:val="32"/>
          <w:szCs w:val="32"/>
        </w:rPr>
      </w:pPr>
      <w:r>
        <w:rPr>
          <w:rFonts w:hint="eastAsia" w:eastAsia="仿宋_GB2312"/>
          <w:sz w:val="32"/>
          <w:szCs w:val="32"/>
        </w:rPr>
        <w:t>3、负责全区党政系统密码通信和密码管理；负责全区电子政务内网、党政专用通信网规划、建设和管理；负责全区电子文件管理工作，协同做好党政机关电子公文系统安全可靠应用推进、区直单位信息化建设项目前置审查工作。</w:t>
      </w:r>
    </w:p>
    <w:p>
      <w:pPr>
        <w:widowControl/>
        <w:spacing w:line="600" w:lineRule="exact"/>
        <w:ind w:firstLine="627" w:firstLineChars="196"/>
        <w:rPr>
          <w:rFonts w:hint="eastAsia" w:eastAsia="仿宋_GB2312"/>
          <w:sz w:val="32"/>
          <w:szCs w:val="32"/>
        </w:rPr>
      </w:pPr>
      <w:r>
        <w:rPr>
          <w:rFonts w:hint="eastAsia" w:eastAsia="仿宋_GB2312"/>
          <w:sz w:val="32"/>
          <w:szCs w:val="32"/>
        </w:rPr>
        <w:t>4、负责上级党委领导来区考察期间的接待工作。</w:t>
      </w:r>
    </w:p>
    <w:p>
      <w:pPr>
        <w:widowControl/>
        <w:spacing w:line="600" w:lineRule="exact"/>
        <w:ind w:firstLine="627" w:firstLineChars="196"/>
        <w:rPr>
          <w:rFonts w:hint="eastAsia" w:eastAsia="仿宋_GB2312"/>
          <w:sz w:val="32"/>
          <w:szCs w:val="32"/>
        </w:rPr>
      </w:pPr>
      <w:r>
        <w:rPr>
          <w:rFonts w:hint="eastAsia" w:eastAsia="仿宋_GB2312"/>
          <w:sz w:val="32"/>
          <w:szCs w:val="32"/>
        </w:rPr>
        <w:t>5、负责区委全面深化改革委员会的日常工作；负责组织开展全区全面深化改革重大问题的政策研究，统筹协调有关方面提出改革方案和措施，协调督促有关方面落实委员会决定事项、工作部暑和要求；负责向市委改革办的情况汇报、具体事项请示、资料报送等工作联系。</w:t>
      </w:r>
    </w:p>
    <w:p>
      <w:pPr>
        <w:widowControl/>
        <w:spacing w:line="600" w:lineRule="exact"/>
        <w:ind w:firstLine="627" w:firstLineChars="196"/>
        <w:rPr>
          <w:rFonts w:hint="eastAsia" w:eastAsia="仿宋_GB2312"/>
          <w:sz w:val="32"/>
          <w:szCs w:val="32"/>
        </w:rPr>
      </w:pPr>
      <w:r>
        <w:rPr>
          <w:rFonts w:hint="eastAsia" w:eastAsia="仿宋_GB2312"/>
          <w:sz w:val="32"/>
          <w:szCs w:val="32"/>
        </w:rPr>
        <w:t>6、负责区委财经委员会的日常工作；负责围绕全区经济社会发展的重大问题，组织开展调查研究，分析研判全区经济社会发展形势；负责督导检查全区关于区委财经委员会决策部署落实情况；负责拟订财经工作相关文件和工作规划。</w:t>
      </w:r>
    </w:p>
    <w:p>
      <w:pPr>
        <w:widowControl/>
        <w:spacing w:line="600" w:lineRule="exact"/>
        <w:ind w:firstLine="627" w:firstLineChars="196"/>
        <w:rPr>
          <w:rFonts w:hint="eastAsia" w:eastAsia="仿宋_GB2312"/>
          <w:sz w:val="32"/>
          <w:szCs w:val="32"/>
        </w:rPr>
      </w:pPr>
      <w:r>
        <w:rPr>
          <w:rFonts w:hint="eastAsia" w:eastAsia="仿宋_GB2312"/>
          <w:sz w:val="32"/>
          <w:szCs w:val="32"/>
        </w:rPr>
        <w:t>7、负责区委外事工作委员会的日常工作；贯彻执行党和国家外事和港澳工作方针、政策、法规，统筹协调重要外宾、港澳同胞的来访接待；办理区内公职人员因公出（入）境手续，负责出国（境）人员外事纪律教育，掌握出访团组（人员）在外工作活动情况。</w:t>
      </w:r>
    </w:p>
    <w:p>
      <w:pPr>
        <w:widowControl/>
        <w:spacing w:line="600" w:lineRule="exact"/>
        <w:ind w:firstLine="627" w:firstLineChars="196"/>
        <w:rPr>
          <w:rFonts w:hint="eastAsia" w:eastAsia="仿宋_GB2312"/>
          <w:sz w:val="32"/>
          <w:szCs w:val="32"/>
        </w:rPr>
      </w:pPr>
      <w:r>
        <w:rPr>
          <w:rFonts w:hint="eastAsia" w:eastAsia="仿宋_GB2312"/>
          <w:sz w:val="32"/>
          <w:szCs w:val="32"/>
        </w:rPr>
        <w:t>8、负责贯彻执行党和国家的对台方针政策和各项涉台法律、法规；组织指导管理协调全区对台工作，检查了解各单位贯彻执行党和国家的对台方针政策的落实情况；做好对台宣传教育工作。</w:t>
      </w:r>
    </w:p>
    <w:p>
      <w:pPr>
        <w:widowControl/>
        <w:spacing w:line="600" w:lineRule="exact"/>
        <w:ind w:firstLine="627" w:firstLineChars="196"/>
        <w:rPr>
          <w:rFonts w:hint="eastAsia" w:eastAsia="仿宋_GB2312"/>
          <w:sz w:val="32"/>
          <w:szCs w:val="32"/>
        </w:rPr>
      </w:pPr>
      <w:r>
        <w:rPr>
          <w:rFonts w:hint="eastAsia" w:eastAsia="仿宋_GB2312"/>
          <w:sz w:val="32"/>
          <w:szCs w:val="32"/>
        </w:rPr>
        <w:t>9、负责全区档案事业的发展规划、组织协调，全区档案工作的监督和指导，全区档案法规的宣传教育以及依法查处档案违法行为。</w:t>
      </w:r>
    </w:p>
    <w:p>
      <w:pPr>
        <w:widowControl/>
        <w:spacing w:line="600" w:lineRule="exact"/>
        <w:ind w:firstLine="627" w:firstLineChars="196"/>
        <w:rPr>
          <w:rFonts w:hint="eastAsia" w:eastAsia="仿宋_GB2312"/>
          <w:sz w:val="32"/>
          <w:szCs w:val="32"/>
        </w:rPr>
      </w:pPr>
      <w:r>
        <w:rPr>
          <w:rFonts w:hint="eastAsia" w:eastAsia="仿宋_GB2312"/>
          <w:sz w:val="32"/>
          <w:szCs w:val="32"/>
        </w:rPr>
        <w:t>10、负责区委办公室系统的信访维稳和安全生产工作；完成区委交办的其他工作。</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（二）机构设置</w:t>
      </w:r>
    </w:p>
    <w:p>
      <w:pPr>
        <w:widowControl/>
        <w:spacing w:line="600" w:lineRule="exact"/>
        <w:ind w:firstLine="627" w:firstLineChars="196"/>
        <w:jc w:val="left"/>
        <w:rPr>
          <w:rFonts w:hint="eastAsia" w:ascii="仿宋_GB2312" w:hAnsi="仿宋" w:eastAsia="仿宋_GB2312" w:cs="宋体"/>
          <w:color w:val="220700"/>
          <w:kern w:val="0"/>
          <w:sz w:val="32"/>
          <w:szCs w:val="32"/>
        </w:rPr>
      </w:pPr>
      <w:r>
        <w:rPr>
          <w:rFonts w:hint="eastAsia" w:ascii="仿宋_GB2312" w:hAnsi="仿宋" w:eastAsia="仿宋_GB2312" w:cs="宋体"/>
          <w:color w:val="220700"/>
          <w:kern w:val="0"/>
          <w:sz w:val="32"/>
          <w:szCs w:val="32"/>
        </w:rPr>
        <w:t>机构改革后，区委办公室共设置内设机构、单位14个，全部纳入202</w:t>
      </w:r>
      <w:r>
        <w:rPr>
          <w:rFonts w:hint="eastAsia" w:ascii="仿宋_GB2312" w:hAnsi="仿宋" w:eastAsia="仿宋_GB2312" w:cs="宋体"/>
          <w:color w:val="220700"/>
          <w:kern w:val="0"/>
          <w:sz w:val="32"/>
          <w:szCs w:val="32"/>
          <w:lang w:val="en-US" w:eastAsia="zh-CN"/>
        </w:rPr>
        <w:t>4</w:t>
      </w:r>
      <w:r>
        <w:rPr>
          <w:rFonts w:hint="eastAsia" w:ascii="仿宋_GB2312" w:hAnsi="仿宋" w:eastAsia="仿宋_GB2312" w:cs="宋体"/>
          <w:color w:val="220700"/>
          <w:kern w:val="0"/>
          <w:sz w:val="32"/>
          <w:szCs w:val="32"/>
        </w:rPr>
        <w:t>年部门部门预算编制范围。其中内设机构13个，分别是秘书室、总值班室、法规室（加挂区委法规室牌子）、综调信息室、督查室（对外称区委督查室）、机要密码室保密室、改革指导协调室、外事管理和港澳事务室、台湾事务管理室、财经室、档案宣传教育和业务指导室、政工行财室。正科级财政全额拨款单位1个，为君山区委政策研究中心。</w:t>
      </w:r>
    </w:p>
    <w:p>
      <w:pPr>
        <w:ind w:firstLine="643" w:firstLineChars="200"/>
        <w:rPr>
          <w:rFonts w:hint="eastAsia" w:ascii="Times New Roman" w:hAnsi="Times New Roman" w:eastAsia="黑体" w:cs="Times New Roman"/>
          <w:b/>
          <w:bCs/>
          <w:kern w:val="0"/>
          <w:sz w:val="32"/>
          <w:szCs w:val="32"/>
          <w:highlight w:val="none"/>
        </w:rPr>
      </w:pPr>
      <w:r>
        <w:rPr>
          <w:rFonts w:hint="eastAsia" w:ascii="Times New Roman" w:hAnsi="Times New Roman" w:eastAsia="黑体" w:cs="Times New Roman"/>
          <w:b/>
          <w:bCs/>
          <w:kern w:val="0"/>
          <w:sz w:val="32"/>
          <w:szCs w:val="32"/>
          <w:highlight w:val="none"/>
        </w:rPr>
        <w:t>二、部门预算单位构成</w:t>
      </w:r>
    </w:p>
    <w:p>
      <w:pPr>
        <w:widowControl/>
        <w:spacing w:line="600" w:lineRule="exact"/>
        <w:ind w:firstLine="627" w:firstLineChars="196"/>
        <w:jc w:val="left"/>
        <w:rPr>
          <w:rFonts w:hint="eastAsia" w:ascii="仿宋_GB2312" w:hAnsi="仿宋" w:eastAsia="仿宋_GB2312" w:cs="宋体"/>
          <w:color w:val="220700"/>
          <w:kern w:val="0"/>
          <w:sz w:val="32"/>
          <w:szCs w:val="32"/>
          <w:lang w:val="en-US" w:eastAsia="zh-CN"/>
        </w:rPr>
      </w:pPr>
      <w:r>
        <w:rPr>
          <w:rFonts w:hint="eastAsia" w:ascii="仿宋_GB2312" w:hAnsi="仿宋" w:eastAsia="仿宋_GB2312" w:cs="宋体"/>
          <w:color w:val="220700"/>
          <w:kern w:val="0"/>
          <w:sz w:val="32"/>
          <w:szCs w:val="32"/>
          <w:lang w:val="en-US" w:eastAsia="zh-CN"/>
        </w:rPr>
        <w:t>本部门预算为汇总预算，纳入2024年部门预算编制范围的预算单位包括：</w:t>
      </w:r>
    </w:p>
    <w:p>
      <w:pPr>
        <w:spacing w:line="580" w:lineRule="exact"/>
        <w:ind w:firstLine="640" w:firstLineChars="200"/>
        <w:rPr>
          <w:rFonts w:hint="eastAsia" w:ascii="仿宋_GB2312" w:hAnsi="仿宋" w:eastAsia="仿宋_GB2312" w:cs="宋体"/>
          <w:color w:val="220700"/>
          <w:kern w:val="0"/>
          <w:sz w:val="32"/>
          <w:szCs w:val="32"/>
        </w:rPr>
      </w:pPr>
      <w:r>
        <w:rPr>
          <w:rFonts w:hint="eastAsia" w:ascii="仿宋_GB2312" w:hAnsi="仿宋" w:eastAsia="仿宋_GB2312" w:cs="宋体"/>
          <w:color w:val="220700"/>
          <w:kern w:val="0"/>
          <w:sz w:val="32"/>
          <w:szCs w:val="32"/>
        </w:rPr>
        <w:t>1、</w:t>
      </w:r>
      <w:r>
        <w:rPr>
          <w:rFonts w:hint="eastAsia" w:ascii="仿宋_GB2312" w:hAnsi="仿宋" w:eastAsia="仿宋_GB2312" w:cs="宋体"/>
          <w:color w:val="220700"/>
          <w:kern w:val="0"/>
          <w:sz w:val="32"/>
          <w:szCs w:val="32"/>
          <w:lang w:val="en-US" w:eastAsia="zh-CN"/>
        </w:rPr>
        <w:t>中共岳阳市君山区委办公室</w:t>
      </w:r>
      <w:r>
        <w:rPr>
          <w:rFonts w:hint="eastAsia" w:ascii="仿宋_GB2312" w:hAnsi="仿宋" w:eastAsia="仿宋_GB2312" w:cs="宋体"/>
          <w:color w:val="220700"/>
          <w:kern w:val="0"/>
          <w:sz w:val="32"/>
          <w:szCs w:val="32"/>
        </w:rPr>
        <w:t>本级</w:t>
      </w:r>
    </w:p>
    <w:p>
      <w:pPr>
        <w:spacing w:line="580" w:lineRule="exact"/>
        <w:ind w:firstLine="640" w:firstLineChars="200"/>
        <w:rPr>
          <w:rFonts w:hint="eastAsia" w:ascii="仿宋_GB2312" w:hAnsi="仿宋" w:eastAsia="仿宋_GB2312" w:cs="宋体"/>
          <w:color w:val="220700"/>
          <w:kern w:val="0"/>
          <w:sz w:val="32"/>
          <w:szCs w:val="32"/>
        </w:rPr>
      </w:pPr>
      <w:r>
        <w:rPr>
          <w:rFonts w:hint="eastAsia" w:ascii="仿宋_GB2312" w:hAnsi="仿宋" w:eastAsia="仿宋_GB2312" w:cs="宋体"/>
          <w:color w:val="220700"/>
          <w:kern w:val="0"/>
          <w:sz w:val="32"/>
          <w:szCs w:val="32"/>
        </w:rPr>
        <w:t>2、君山区委政策研究中心</w:t>
      </w:r>
    </w:p>
    <w:p>
      <w:pPr>
        <w:ind w:firstLine="643" w:firstLineChars="200"/>
        <w:rPr>
          <w:rFonts w:hint="eastAsia" w:ascii="Times New Roman" w:hAnsi="Times New Roman" w:eastAsia="黑体" w:cs="Times New Roman"/>
          <w:b/>
          <w:bCs/>
          <w:kern w:val="0"/>
          <w:sz w:val="32"/>
          <w:szCs w:val="32"/>
          <w:highlight w:val="none"/>
        </w:rPr>
      </w:pPr>
      <w:r>
        <w:rPr>
          <w:rFonts w:hint="eastAsia" w:ascii="Times New Roman" w:hAnsi="Times New Roman" w:eastAsia="黑体" w:cs="Times New Roman"/>
          <w:b/>
          <w:bCs/>
          <w:kern w:val="0"/>
          <w:sz w:val="32"/>
          <w:szCs w:val="32"/>
          <w:highlight w:val="none"/>
          <w:lang w:val="en-US" w:eastAsia="zh-CN"/>
        </w:rPr>
        <w:t>三、</w:t>
      </w:r>
      <w:r>
        <w:rPr>
          <w:rFonts w:hint="eastAsia" w:ascii="Times New Roman" w:hAnsi="Times New Roman" w:eastAsia="黑体" w:cs="Times New Roman"/>
          <w:b/>
          <w:bCs/>
          <w:kern w:val="0"/>
          <w:sz w:val="32"/>
          <w:szCs w:val="32"/>
          <w:highlight w:val="none"/>
        </w:rPr>
        <w:t>部门收支总体情况</w:t>
      </w:r>
    </w:p>
    <w:p>
      <w:pPr>
        <w:spacing w:line="570" w:lineRule="atLeast"/>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本部门2024年没有政府性基金预算拨款、国有资本经营预算收入和纳入专户管理的非税收入拨款收入，也没有使用政府性基金预算拨款、国有资本经营预算收入和纳入专户管理的非税收入拨款安排的支出，所以部门预算公开表15、16、17、18、19表均为空。</w:t>
      </w:r>
    </w:p>
    <w:p>
      <w:pPr>
        <w:numPr>
          <w:ilvl w:val="0"/>
          <w:numId w:val="1"/>
        </w:num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收入预算：</w:t>
      </w:r>
      <w:r>
        <w:rPr>
          <w:rFonts w:hint="eastAsia" w:ascii="仿宋_GB2312" w:hAnsi="仿宋_GB2312" w:eastAsia="仿宋_GB2312" w:cs="仿宋_GB2312"/>
          <w:color w:val="000000"/>
          <w:sz w:val="32"/>
          <w:szCs w:val="32"/>
          <w:highlight w:val="none"/>
          <w:shd w:val="clear" w:color="auto" w:fill="FFFFFF"/>
          <w:lang w:val="en-US" w:eastAsia="zh-CN"/>
        </w:rPr>
        <w:t>包括一般公共预算、政府性基金、国有资本经营预算等财政拨款收入，以及经营收入、事业收入等单位资金。2024年本部门收入预算1049.36万元，其中，一般公共预算拨款1049.36万元，政府性基金预算资金0.00万元(所以部门预算公开表15-17表为空)，国有资本经营预算资金0.00万元(所以部门预算公开表18表为空)，财政专户管理资金0.00万元(所以部门预算公开表19表为空)，上</w:t>
      </w:r>
      <w:r>
        <w:rPr>
          <w:rFonts w:hint="eastAsia" w:ascii="仿宋_GB2312" w:hAnsi="仿宋_GB2312" w:eastAsia="仿宋_GB2312" w:cs="仿宋_GB2312"/>
          <w:color w:val="000000"/>
          <w:sz w:val="32"/>
          <w:szCs w:val="32"/>
          <w:shd w:val="clear" w:color="auto" w:fill="FFFFFF"/>
          <w:lang w:val="en-US" w:eastAsia="zh-CN"/>
        </w:rPr>
        <w:t>级补助收入资金0.00万元，事业单位经营收入资金0.00万元，上年结转结余0.00万元。收入较去年减少56.2万元，下降5.08%。</w:t>
      </w:r>
      <w:r>
        <w:rPr>
          <w:rFonts w:hint="eastAsia" w:ascii="仿宋_GB2312" w:hAnsi="仿宋_GB2312" w:eastAsia="仿宋_GB2312" w:cs="仿宋_GB2312"/>
          <w:color w:val="000000"/>
          <w:kern w:val="2"/>
          <w:sz w:val="32"/>
          <w:szCs w:val="32"/>
          <w:shd w:val="clear" w:color="auto" w:fill="FFFFFF"/>
          <w:lang w:val="en-US" w:eastAsia="zh-CN" w:bidi="ar-SA"/>
        </w:rPr>
        <w:t>主要原因是党政机关带头过紧日子，勤俭办一切事业，建立节约型财政保障机制，不新增预算，严格控制机关事业单位的一般性支出。</w:t>
      </w:r>
    </w:p>
    <w:p>
      <w:pPr>
        <w:numPr>
          <w:ilvl w:val="0"/>
          <w:numId w:val="0"/>
        </w:numPr>
        <w:spacing w:line="570" w:lineRule="atLeast"/>
        <w:rPr>
          <w:rFonts w:hint="eastAsia" w:ascii="仿宋_GB2312" w:hAnsi="仿宋_GB2312" w:eastAsia="仿宋_GB2312" w:cs="仿宋_GB2312"/>
          <w:color w:val="000000"/>
          <w:sz w:val="32"/>
          <w:szCs w:val="32"/>
          <w:shd w:val="clear" w:color="auto" w:fill="FFFFFF"/>
          <w:lang w:val="en-US" w:eastAsia="zh-CN"/>
        </w:rPr>
      </w:pPr>
      <w:r>
        <w:rPr>
          <w:rFonts w:hint="eastAsia"/>
          <w:lang w:val="en-US" w:eastAsia="zh-CN"/>
        </w:rPr>
        <w:t xml:space="preserve">     </w:t>
      </w:r>
      <w:r>
        <w:drawing>
          <wp:inline distT="0" distB="0" distL="114300" distR="114300">
            <wp:extent cx="4826000" cy="2743200"/>
            <wp:effectExtent l="4445" t="4445" r="8255" b="52705"/>
            <wp:docPr id="8" name="图表 7" descr="7b0a202020202263686172745265734964223a202232303437363039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numPr>
          <w:ilvl w:val="0"/>
          <w:numId w:val="1"/>
        </w:num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支出预算：</w:t>
      </w:r>
      <w:r>
        <w:rPr>
          <w:rFonts w:hint="eastAsia" w:ascii="仿宋_GB2312" w:hAnsi="仿宋_GB2312" w:eastAsia="仿宋_GB2312" w:cs="仿宋_GB2312"/>
          <w:color w:val="000000"/>
          <w:sz w:val="32"/>
          <w:szCs w:val="32"/>
          <w:shd w:val="clear" w:color="auto" w:fill="FFFFFF"/>
          <w:lang w:val="en-US" w:eastAsia="zh-CN"/>
        </w:rPr>
        <w:t>2024年本部门支出预算1049.36万元其中：一般公共服务支出890.11万元，社会保障和就业支出112.72万元，卫生健康支出18.52万元，住房保障支出28.01万元。支出较去年减少56.2万元，下降5.08%。</w:t>
      </w:r>
      <w:r>
        <w:rPr>
          <w:rFonts w:hint="eastAsia" w:ascii="仿宋_GB2312" w:hAnsi="仿宋_GB2312" w:eastAsia="仿宋_GB2312" w:cs="仿宋_GB2312"/>
          <w:color w:val="000000"/>
          <w:kern w:val="2"/>
          <w:sz w:val="32"/>
          <w:szCs w:val="32"/>
          <w:shd w:val="clear" w:color="auto" w:fill="FFFFFF"/>
          <w:lang w:val="en-US" w:eastAsia="zh-CN" w:bidi="ar-SA"/>
        </w:rPr>
        <w:t>主要原因是党政机关带头过紧日子，勤俭办一切事业，建立节约型财政保障机制，不新增预算，严格控制机关事业单位的一般性支出。</w:t>
      </w:r>
    </w:p>
    <w:p>
      <w:pPr>
        <w:widowControl w:val="0"/>
        <w:numPr>
          <w:ilvl w:val="0"/>
          <w:numId w:val="0"/>
        </w:numPr>
        <w:spacing w:line="570" w:lineRule="atLeast"/>
        <w:jc w:val="both"/>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lang w:val="en-US" w:eastAsia="zh-CN"/>
        </w:rPr>
        <w:t xml:space="preserve">       </w:t>
      </w:r>
      <w:r>
        <w:drawing>
          <wp:inline distT="0" distB="0" distL="114300" distR="114300">
            <wp:extent cx="4596765" cy="3001010"/>
            <wp:effectExtent l="4445" t="4445" r="8890" b="23495"/>
            <wp:docPr id="2"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2024年本部门一般公共预算拨款支出1049.36万元，其中：一般公共服务支出890.11万元，占84.82%；社会保障和就业支出112.72万元，占10.74%；卫生健康支出18.52万元，占1.76%；住房保障支出28.01万元，占2.68%。具体安排情况如下：</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（一）基本支出：</w:t>
      </w:r>
      <w:r>
        <w:rPr>
          <w:rFonts w:hint="eastAsia" w:ascii="仿宋_GB2312" w:hAnsi="仿宋_GB2312" w:eastAsia="仿宋_GB2312" w:cs="仿宋_GB2312"/>
          <w:color w:val="000000"/>
          <w:sz w:val="32"/>
          <w:szCs w:val="32"/>
          <w:shd w:val="clear" w:color="auto" w:fill="FFFFFF"/>
          <w:lang w:val="en-US" w:eastAsia="zh-CN"/>
        </w:rPr>
        <w:t>2024年本部门基本支出预算数450万元，主要是为保障部门正常运转、完成日常工作任务而发生的各项支出，包括用于基本工资、津贴补贴等人员经费以及办公费、印刷费、水电费、办公设备购置等公用经费。</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（二）项目支出：</w:t>
      </w:r>
      <w:r>
        <w:rPr>
          <w:rFonts w:hint="eastAsia" w:ascii="仿宋_GB2312" w:hAnsi="仿宋_GB2312" w:eastAsia="仿宋_GB2312" w:cs="仿宋_GB2312"/>
          <w:color w:val="000000"/>
          <w:sz w:val="32"/>
          <w:szCs w:val="32"/>
          <w:shd w:val="clear" w:color="auto" w:fill="FFFFFF"/>
          <w:lang w:val="en-US" w:eastAsia="zh-CN"/>
        </w:rPr>
        <w:t>2024年本部门项目支出预算599.36万元，</w:t>
      </w:r>
      <w:r>
        <w:rPr>
          <w:rFonts w:hint="eastAsia" w:ascii="Times New Roman" w:hAnsi="Times New Roman" w:eastAsia="仿宋_GB2312" w:cs="Times New Roman"/>
          <w:sz w:val="32"/>
          <w:szCs w:val="32"/>
        </w:rPr>
        <w:t>主要是部门为完成特定行政工作任务或事业发展目标而发生的支出，包括</w:t>
      </w:r>
      <w:r>
        <w:rPr>
          <w:rFonts w:eastAsia="仿宋_GB2312"/>
          <w:sz w:val="32"/>
          <w:szCs w:val="32"/>
        </w:rPr>
        <w:t>包括</w:t>
      </w:r>
      <w:r>
        <w:rPr>
          <w:rFonts w:hint="eastAsia" w:eastAsia="仿宋_GB2312"/>
          <w:sz w:val="32"/>
          <w:szCs w:val="32"/>
          <w:lang w:eastAsia="zh-CN"/>
        </w:rPr>
        <w:t>业务工作经费支出、运行维护经费</w:t>
      </w:r>
      <w:r>
        <w:rPr>
          <w:rFonts w:eastAsia="仿宋_GB2312"/>
          <w:sz w:val="32"/>
          <w:szCs w:val="32"/>
        </w:rPr>
        <w:t>等</w:t>
      </w:r>
      <w:r>
        <w:rPr>
          <w:rFonts w:hint="eastAsia" w:ascii="Times New Roman" w:hAnsi="Times New Roman" w:eastAsia="仿宋_GB2312" w:cs="Times New Roman"/>
          <w:sz w:val="32"/>
          <w:szCs w:val="32"/>
        </w:rPr>
        <w:t>，</w:t>
      </w:r>
      <w:r>
        <w:rPr>
          <w:rFonts w:hint="eastAsia" w:ascii="仿宋_GB2312" w:hAnsi="仿宋_GB2312" w:eastAsia="仿宋_GB2312" w:cs="仿宋_GB2312"/>
          <w:color w:val="000000"/>
          <w:sz w:val="32"/>
          <w:szCs w:val="32"/>
          <w:shd w:val="clear" w:color="auto" w:fill="FFFFFF"/>
          <w:lang w:val="en-US" w:eastAsia="zh-CN"/>
        </w:rPr>
        <w:t>其中：一般公共服务支出599.36万元，</w:t>
      </w:r>
      <w:r>
        <w:rPr>
          <w:rFonts w:hint="eastAsia"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val="en-US" w:eastAsia="zh-CN"/>
        </w:rPr>
        <w:t>国安工作经费、党委信息化建设、重点工作督察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春节慰问、全面深化改革</w:t>
      </w:r>
      <w:r>
        <w:rPr>
          <w:rFonts w:hint="eastAsia" w:ascii="Times New Roman" w:hAnsi="Times New Roman" w:eastAsia="仿宋_GB2312" w:cs="Times New Roman"/>
          <w:sz w:val="32"/>
          <w:szCs w:val="32"/>
        </w:rPr>
        <w:t>等方面；</w:t>
      </w:r>
    </w:p>
    <w:p>
      <w:pPr>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2024年度本部门无政府性基金安排的支出，所以公开的附件15-17表（政府性基金预算）为空。</w:t>
      </w:r>
    </w:p>
    <w:p>
      <w:pPr>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sz w:val="32"/>
          <w:szCs w:val="32"/>
          <w:shd w:val="clear" w:color="auto" w:fill="FFFFFF"/>
          <w:lang w:val="en-US" w:eastAsia="zh-CN"/>
        </w:rPr>
        <w:t>（一）机关运行经费：</w:t>
      </w:r>
      <w:r>
        <w:rPr>
          <w:rFonts w:hint="eastAsia" w:ascii="仿宋_GB2312" w:hAnsi="仿宋_GB2312" w:eastAsia="仿宋_GB2312" w:cs="仿宋_GB2312"/>
          <w:color w:val="000000"/>
          <w:kern w:val="2"/>
          <w:sz w:val="32"/>
          <w:szCs w:val="32"/>
          <w:shd w:val="clear" w:color="auto" w:fill="FFFFFF"/>
          <w:lang w:val="en-US" w:eastAsia="zh-CN" w:bidi="ar-SA"/>
        </w:rPr>
        <w:t>2024年本单位本级和</w:t>
      </w:r>
      <w:r>
        <w:rPr>
          <w:rFonts w:hint="eastAsia" w:ascii="仿宋_GB2312" w:hAnsi="仿宋" w:eastAsia="仿宋_GB2312" w:cs="宋体"/>
          <w:color w:val="220700"/>
          <w:kern w:val="0"/>
          <w:sz w:val="32"/>
          <w:szCs w:val="32"/>
        </w:rPr>
        <w:t>君山区委政策研究中心</w:t>
      </w:r>
      <w:r>
        <w:rPr>
          <w:rFonts w:hint="eastAsia" w:ascii="仿宋_GB2312" w:hAnsi="仿宋_GB2312" w:eastAsia="仿宋_GB2312" w:cs="仿宋_GB2312"/>
          <w:color w:val="000000"/>
          <w:kern w:val="2"/>
          <w:sz w:val="32"/>
          <w:szCs w:val="32"/>
          <w:shd w:val="clear" w:color="auto" w:fill="FFFFFF"/>
          <w:lang w:val="en-US" w:eastAsia="zh-CN" w:bidi="ar-SA"/>
        </w:rPr>
        <w:t>行政事业单位共2家汇总的机关运行经费57.32万元，比上年预算减少20.59万元，下降26.43%，主要原因是党政机关带头过紧日子，勤俭办一切事业，建立节约型财政保障机制，不新增预算，严格控制机关事业单位的一般性支出。</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（二）“三公”经费预算：</w:t>
      </w:r>
      <w:r>
        <w:rPr>
          <w:rFonts w:hint="eastAsia" w:eastAsia="仿宋_GB2312"/>
          <w:sz w:val="32"/>
          <w:szCs w:val="32"/>
        </w:rPr>
        <w:t>202</w:t>
      </w:r>
      <w:r>
        <w:rPr>
          <w:rFonts w:hint="eastAsia" w:eastAsia="仿宋_GB2312"/>
          <w:sz w:val="32"/>
          <w:szCs w:val="32"/>
          <w:lang w:val="en-US" w:eastAsia="zh-CN"/>
        </w:rPr>
        <w:t>4</w:t>
      </w:r>
      <w:r>
        <w:rPr>
          <w:rFonts w:eastAsia="仿宋_GB2312"/>
          <w:sz w:val="32"/>
          <w:szCs w:val="32"/>
        </w:rPr>
        <w:t>年本单位</w:t>
      </w:r>
      <w:r>
        <w:rPr>
          <w:rFonts w:hint="eastAsia" w:eastAsia="仿宋_GB2312"/>
          <w:sz w:val="32"/>
          <w:szCs w:val="32"/>
        </w:rPr>
        <w:t>本级</w:t>
      </w:r>
      <w:r>
        <w:rPr>
          <w:rFonts w:hint="eastAsia" w:eastAsia="仿宋_GB2312"/>
          <w:sz w:val="32"/>
          <w:szCs w:val="32"/>
          <w:lang w:eastAsia="zh-CN"/>
        </w:rPr>
        <w:t>和</w:t>
      </w:r>
      <w:r>
        <w:rPr>
          <w:rFonts w:hint="eastAsia" w:ascii="仿宋_GB2312" w:hAnsi="仿宋" w:eastAsia="仿宋_GB2312" w:cs="宋体"/>
          <w:color w:val="220700"/>
          <w:kern w:val="0"/>
          <w:sz w:val="32"/>
          <w:szCs w:val="32"/>
        </w:rPr>
        <w:t>君山区委政策研究中心</w:t>
      </w:r>
      <w:bookmarkStart w:id="4" w:name="_GoBack"/>
      <w:bookmarkEnd w:id="4"/>
      <w:r>
        <w:rPr>
          <w:rFonts w:eastAsia="仿宋_GB2312"/>
          <w:sz w:val="32"/>
          <w:szCs w:val="32"/>
        </w:rPr>
        <w:t>行政事业单位</w:t>
      </w:r>
      <w:r>
        <w:rPr>
          <w:rFonts w:hint="eastAsia" w:eastAsia="仿宋_GB2312"/>
          <w:sz w:val="32"/>
          <w:szCs w:val="32"/>
        </w:rPr>
        <w:t>共</w:t>
      </w:r>
      <w:r>
        <w:rPr>
          <w:rFonts w:hint="eastAsia" w:eastAsia="仿宋_GB2312"/>
          <w:sz w:val="32"/>
          <w:szCs w:val="32"/>
          <w:lang w:val="en-US" w:eastAsia="zh-CN"/>
        </w:rPr>
        <w:t>2</w:t>
      </w:r>
      <w:r>
        <w:rPr>
          <w:rFonts w:hint="eastAsia" w:eastAsia="仿宋_GB2312"/>
          <w:sz w:val="32"/>
          <w:szCs w:val="32"/>
        </w:rPr>
        <w:t>家汇总的</w:t>
      </w:r>
      <w:r>
        <w:rPr>
          <w:rFonts w:hint="eastAsia" w:ascii="仿宋_GB2312" w:hAnsi="仿宋_GB2312" w:eastAsia="仿宋_GB2312" w:cs="仿宋_GB2312"/>
          <w:color w:val="000000"/>
          <w:sz w:val="32"/>
          <w:szCs w:val="32"/>
          <w:shd w:val="clear" w:color="auto" w:fill="FFFFFF"/>
          <w:lang w:val="en-US" w:eastAsia="zh-CN"/>
        </w:rPr>
        <w:t>“三公”经费预算数为4.42万元，其中，公务接待费4.42万元，公务用车购置及运行费0万元（其中，公务用车购置费0万元，公务用车运行费0万元），因公出国（境）费0万元。2024年“三公”经费预算较2023年减少0.9万元，主要原因是严格落实中央“八项规定”精神和“过紧日子”的要求，从严控制“三公”经费支出。</w:t>
      </w:r>
      <w:bookmarkStart w:id="0" w:name="DIS_MARK_IS_ZERO_06_2"/>
      <w:bookmarkEnd w:id="0"/>
      <w:bookmarkStart w:id="1" w:name="START_IS_ZERO_06_2"/>
      <w:bookmarkEnd w:id="1"/>
      <w:bookmarkStart w:id="2" w:name="END_IS_ZERO_06_1"/>
      <w:bookmarkEnd w:id="2"/>
      <w:bookmarkStart w:id="3" w:name="END_IS_ZERO_06_2"/>
      <w:bookmarkEnd w:id="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kern w:val="0"/>
          <w:sz w:val="32"/>
          <w:szCs w:val="32"/>
          <w:lang w:eastAsia="zh-CN"/>
        </w:rPr>
      </w:pPr>
      <w:r>
        <w:rPr>
          <w:rFonts w:hint="eastAsia" w:ascii="仿宋_GB2312" w:hAnsi="仿宋_GB2312" w:eastAsia="仿宋_GB2312" w:cs="仿宋_GB2312"/>
          <w:b/>
          <w:bCs/>
          <w:color w:val="000000"/>
          <w:sz w:val="32"/>
          <w:szCs w:val="32"/>
          <w:shd w:val="clear" w:color="auto" w:fill="FFFFFF"/>
          <w:lang w:val="en-US" w:eastAsia="zh-CN"/>
        </w:rPr>
        <w:t>（三）一般性支出情况：</w:t>
      </w:r>
      <w:r>
        <w:rPr>
          <w:rFonts w:hint="eastAsia" w:eastAsia="仿宋_GB2312"/>
          <w:kern w:val="0"/>
          <w:sz w:val="32"/>
          <w:szCs w:val="32"/>
          <w:lang w:eastAsia="zh-CN"/>
        </w:rPr>
        <w:t>202</w:t>
      </w:r>
      <w:r>
        <w:rPr>
          <w:rFonts w:hint="eastAsia" w:eastAsia="仿宋_GB2312"/>
          <w:kern w:val="0"/>
          <w:sz w:val="32"/>
          <w:szCs w:val="32"/>
          <w:lang w:val="en-US" w:eastAsia="zh-CN"/>
        </w:rPr>
        <w:t>4</w:t>
      </w:r>
      <w:r>
        <w:rPr>
          <w:rFonts w:eastAsia="仿宋_GB2312"/>
          <w:kern w:val="0"/>
          <w:sz w:val="32"/>
          <w:szCs w:val="32"/>
        </w:rPr>
        <w:t>年本部门会议费预算</w:t>
      </w:r>
      <w:r>
        <w:rPr>
          <w:rFonts w:hint="eastAsia" w:eastAsia="仿宋_GB2312"/>
          <w:kern w:val="0"/>
          <w:sz w:val="32"/>
          <w:szCs w:val="32"/>
          <w:lang w:val="en-US" w:eastAsia="zh-CN"/>
        </w:rPr>
        <w:t>2.72</w:t>
      </w:r>
      <w:r>
        <w:rPr>
          <w:rFonts w:eastAsia="仿宋_GB2312"/>
          <w:kern w:val="0"/>
          <w:sz w:val="32"/>
          <w:szCs w:val="32"/>
        </w:rPr>
        <w:t>万元，拟召开</w:t>
      </w:r>
      <w:r>
        <w:rPr>
          <w:rFonts w:hint="eastAsia" w:eastAsia="仿宋_GB2312"/>
          <w:kern w:val="0"/>
          <w:sz w:val="32"/>
          <w:szCs w:val="32"/>
          <w:lang w:val="en-US" w:eastAsia="zh-CN"/>
        </w:rPr>
        <w:t>4次</w:t>
      </w:r>
      <w:r>
        <w:rPr>
          <w:rFonts w:eastAsia="仿宋_GB2312"/>
          <w:kern w:val="0"/>
          <w:sz w:val="32"/>
          <w:szCs w:val="32"/>
        </w:rPr>
        <w:t>会议，人数</w:t>
      </w:r>
      <w:r>
        <w:rPr>
          <w:rFonts w:hint="eastAsia" w:eastAsia="仿宋_GB2312"/>
          <w:kern w:val="0"/>
          <w:sz w:val="32"/>
          <w:szCs w:val="32"/>
          <w:lang w:val="en-US" w:eastAsia="zh-CN"/>
        </w:rPr>
        <w:t>425</w:t>
      </w:r>
      <w:r>
        <w:rPr>
          <w:rFonts w:eastAsia="仿宋_GB2312"/>
          <w:kern w:val="0"/>
          <w:sz w:val="32"/>
          <w:szCs w:val="32"/>
        </w:rPr>
        <w:t>人，内容为</w:t>
      </w:r>
      <w:r>
        <w:rPr>
          <w:rFonts w:hint="eastAsia" w:eastAsia="仿宋_GB2312"/>
          <w:kern w:val="0"/>
          <w:sz w:val="32"/>
          <w:szCs w:val="32"/>
        </w:rPr>
        <w:t>区经济工作会议，区党代会，高质量发展推进会，农村工作会议</w:t>
      </w:r>
      <w:r>
        <w:rPr>
          <w:rFonts w:eastAsia="仿宋_GB2312"/>
          <w:kern w:val="0"/>
          <w:sz w:val="32"/>
          <w:szCs w:val="32"/>
        </w:rPr>
        <w:t>；培训费预算</w:t>
      </w:r>
      <w:r>
        <w:rPr>
          <w:rFonts w:hint="eastAsia" w:eastAsia="仿宋_GB2312"/>
          <w:kern w:val="0"/>
          <w:sz w:val="32"/>
          <w:szCs w:val="32"/>
          <w:lang w:val="en-US" w:eastAsia="zh-CN"/>
        </w:rPr>
        <w:t>2</w:t>
      </w:r>
      <w:r>
        <w:rPr>
          <w:rFonts w:eastAsia="仿宋_GB2312"/>
          <w:kern w:val="0"/>
          <w:sz w:val="32"/>
          <w:szCs w:val="32"/>
        </w:rPr>
        <w:t>万元，拟开展</w:t>
      </w:r>
      <w:r>
        <w:rPr>
          <w:rFonts w:hint="eastAsia" w:eastAsia="仿宋_GB2312"/>
          <w:kern w:val="0"/>
          <w:sz w:val="32"/>
          <w:szCs w:val="32"/>
        </w:rPr>
        <w:t>5次</w:t>
      </w:r>
      <w:r>
        <w:rPr>
          <w:rFonts w:eastAsia="仿宋_GB2312"/>
          <w:kern w:val="0"/>
          <w:sz w:val="32"/>
          <w:szCs w:val="32"/>
        </w:rPr>
        <w:t>培训，人数</w:t>
      </w:r>
      <w:r>
        <w:rPr>
          <w:rFonts w:hint="eastAsia" w:eastAsia="仿宋_GB2312"/>
          <w:kern w:val="0"/>
          <w:sz w:val="32"/>
          <w:szCs w:val="32"/>
          <w:lang w:val="en-US" w:eastAsia="zh-CN"/>
        </w:rPr>
        <w:t>200</w:t>
      </w:r>
      <w:r>
        <w:rPr>
          <w:rFonts w:eastAsia="仿宋_GB2312"/>
          <w:kern w:val="0"/>
          <w:sz w:val="32"/>
          <w:szCs w:val="32"/>
        </w:rPr>
        <w:t>人，内容为</w:t>
      </w:r>
      <w:r>
        <w:rPr>
          <w:rFonts w:hint="eastAsia" w:eastAsia="仿宋_GB2312"/>
          <w:kern w:val="0"/>
          <w:sz w:val="32"/>
          <w:szCs w:val="32"/>
          <w:lang w:val="en-US" w:eastAsia="zh-CN"/>
        </w:rPr>
        <w:t>学习两会精神等</w:t>
      </w:r>
      <w:r>
        <w:rPr>
          <w:rFonts w:eastAsia="仿宋_GB2312"/>
          <w:kern w:val="0"/>
          <w:sz w:val="32"/>
          <w:szCs w:val="32"/>
        </w:rPr>
        <w:t>；</w:t>
      </w:r>
      <w:r>
        <w:rPr>
          <w:rFonts w:hint="eastAsia" w:eastAsia="仿宋_GB2312"/>
          <w:kern w:val="0"/>
          <w:sz w:val="32"/>
          <w:szCs w:val="32"/>
          <w:lang w:eastAsia="zh-CN"/>
        </w:rPr>
        <w:t>未计划举办</w:t>
      </w:r>
      <w:r>
        <w:rPr>
          <w:rFonts w:hint="eastAsia" w:eastAsia="仿宋_GB2312"/>
          <w:kern w:val="0"/>
          <w:sz w:val="32"/>
          <w:szCs w:val="32"/>
        </w:rPr>
        <w:t>节庆、晚会、</w:t>
      </w:r>
      <w:r>
        <w:rPr>
          <w:rFonts w:eastAsia="仿宋_GB2312"/>
          <w:kern w:val="0"/>
          <w:sz w:val="32"/>
          <w:szCs w:val="32"/>
        </w:rPr>
        <w:t>论坛、赛事</w:t>
      </w:r>
      <w:r>
        <w:rPr>
          <w:rFonts w:hint="eastAsia" w:eastAsia="仿宋_GB2312"/>
          <w:kern w:val="0"/>
          <w:sz w:val="32"/>
          <w:szCs w:val="32"/>
        </w:rPr>
        <w:t>活动</w:t>
      </w:r>
      <w:r>
        <w:rPr>
          <w:rFonts w:hint="eastAsia" w:eastAsia="仿宋_GB2312"/>
          <w:kern w:val="0"/>
          <w:sz w:val="32"/>
          <w:szCs w:val="32"/>
          <w:lang w:eastAsia="zh-CN"/>
        </w:rPr>
        <w:t>，</w:t>
      </w:r>
      <w:r>
        <w:rPr>
          <w:rFonts w:eastAsia="仿宋_GB2312"/>
          <w:kern w:val="0"/>
          <w:sz w:val="32"/>
          <w:szCs w:val="32"/>
        </w:rPr>
        <w:t>经费预算</w:t>
      </w:r>
      <w:r>
        <w:rPr>
          <w:rFonts w:hint="eastAsia" w:eastAsia="仿宋_GB2312"/>
          <w:kern w:val="0"/>
          <w:sz w:val="32"/>
          <w:szCs w:val="32"/>
          <w:lang w:val="en-US" w:eastAsia="zh-CN"/>
        </w:rPr>
        <w:t>0</w:t>
      </w:r>
      <w:r>
        <w:rPr>
          <w:rFonts w:eastAsia="仿宋_GB2312"/>
          <w:kern w:val="0"/>
          <w:sz w:val="32"/>
          <w:szCs w:val="32"/>
        </w:rPr>
        <w:t>万元</w:t>
      </w:r>
      <w:r>
        <w:rPr>
          <w:rFonts w:hint="eastAsia" w:eastAsia="仿宋_GB2312"/>
          <w:kern w:val="0"/>
          <w:sz w:val="32"/>
          <w:szCs w:val="32"/>
          <w:lang w:eastAsia="zh-CN"/>
        </w:rPr>
        <w:t>。</w:t>
      </w:r>
    </w:p>
    <w:p>
      <w:pPr>
        <w:widowControl/>
        <w:spacing w:line="600" w:lineRule="exact"/>
        <w:ind w:firstLine="660"/>
        <w:rPr>
          <w:rFonts w:eastAsia="仿宋_GB2312"/>
          <w:b/>
          <w:sz w:val="32"/>
          <w:szCs w:val="32"/>
          <w:highlight w:val="none"/>
        </w:rPr>
      </w:pPr>
    </w:p>
    <w:p>
      <w:pPr>
        <w:spacing w:line="570" w:lineRule="atLeast"/>
        <w:ind w:firstLine="643" w:firstLineChars="200"/>
        <w:rPr>
          <w:rFonts w:hint="eastAsia" w:eastAsia="仿宋_GB2312"/>
          <w:kern w:val="0"/>
          <w:sz w:val="32"/>
          <w:szCs w:val="32"/>
          <w:lang w:val="en-US" w:eastAsia="zh-CN"/>
        </w:rPr>
      </w:pPr>
      <w:r>
        <w:rPr>
          <w:rFonts w:hint="eastAsia" w:ascii="仿宋_GB2312" w:hAnsi="仿宋_GB2312" w:eastAsia="仿宋_GB2312" w:cs="仿宋_GB2312"/>
          <w:b/>
          <w:bCs/>
          <w:color w:val="000000"/>
          <w:sz w:val="32"/>
          <w:szCs w:val="32"/>
          <w:shd w:val="clear" w:color="auto" w:fill="FFFFFF"/>
          <w:lang w:val="en-US" w:eastAsia="zh-CN"/>
        </w:rPr>
        <w:t>（四）政府采购情况：</w:t>
      </w:r>
      <w:r>
        <w:rPr>
          <w:rFonts w:hint="eastAsia" w:eastAsia="仿宋_GB2312"/>
          <w:kern w:val="0"/>
          <w:sz w:val="32"/>
          <w:szCs w:val="32"/>
          <w:lang w:val="en-US" w:eastAsia="zh-CN"/>
        </w:rPr>
        <w:t>2024年本部门政府采购预算总额46万元，其中，货物类采购预算10万元；工程类采购预算0万元；服务类采购预算36万元。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sz w:val="32"/>
          <w:szCs w:val="32"/>
          <w:shd w:val="clear" w:color="auto" w:fill="FFFFFF"/>
          <w:lang w:val="en-US" w:eastAsia="zh-CN"/>
        </w:rPr>
        <w:t>（五）国有资产占用使用及新增资产配置情况：</w:t>
      </w:r>
      <w:r>
        <w:rPr>
          <w:rFonts w:hint="eastAsia" w:ascii="仿宋_GB2312" w:hAnsi="仿宋_GB2312" w:eastAsia="仿宋_GB2312" w:cs="仿宋_GB2312"/>
          <w:color w:val="000000"/>
          <w:kern w:val="2"/>
          <w:sz w:val="32"/>
          <w:szCs w:val="32"/>
          <w:shd w:val="clear" w:color="auto" w:fill="FFFFFF"/>
          <w:lang w:val="en-US" w:eastAsia="zh-CN" w:bidi="ar-SA"/>
        </w:rPr>
        <w:t>截至2023年12月底，本单位共有公务用车0辆，其中，机要通信用车0辆，应急保障用车0辆，执法执勤用车0辆，特种专业技术用车0辆，其他按照规定配备的公务用车0辆；单位价值50万元以上设备0台，其中，单位价值100万元以上设备0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textAlignment w:val="center"/>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2024年拟新增配置公务用车0辆，其中，机要通信用车0辆，应急保障用车0辆，执法执勤用</w:t>
      </w:r>
      <w:r>
        <w:rPr>
          <w:rFonts w:hint="eastAsia" w:ascii="仿宋_GB2312" w:hAnsi="仿宋_GB2312" w:eastAsia="仿宋_GB2312" w:cs="仿宋_GB2312"/>
          <w:color w:val="000000"/>
          <w:kern w:val="2"/>
          <w:sz w:val="32"/>
          <w:szCs w:val="32"/>
          <w:highlight w:val="none"/>
          <w:shd w:val="clear" w:color="auto" w:fill="FFFFFF"/>
          <w:lang w:val="en-US" w:eastAsia="zh-CN" w:bidi="ar-SA"/>
        </w:rPr>
        <w:t>车0辆，特种专业技术用车0辆，其他按照规定配备的公务用车0辆；新增配备单位价值50万元以上设备0台，其中，单位价值100万元以上设备0台。</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（六）预算绩效目标说明：</w:t>
      </w:r>
      <w:r>
        <w:rPr>
          <w:rFonts w:hint="eastAsia" w:ascii="仿宋_GB2312" w:hAnsi="仿宋_GB2312" w:eastAsia="仿宋_GB2312" w:cs="仿宋_GB2312"/>
          <w:color w:val="000000"/>
          <w:sz w:val="32"/>
          <w:szCs w:val="32"/>
          <w:shd w:val="clear" w:color="auto" w:fill="FFFFFF"/>
          <w:lang w:val="en-US" w:eastAsia="zh-CN"/>
        </w:rPr>
        <w:t>本部门所有支出实行绩效目标管理。纳入2024年部门整体支出绩效目标的金额为1049.36万元，其中，基本支出450万元，项目支出599.36万元，具体绩效目标详见文尾附表中部门预算公开表21-2</w:t>
      </w:r>
      <w:r>
        <w:rPr>
          <w:rFonts w:hint="eastAsia" w:ascii="仿宋_GB2312" w:hAnsi="仿宋_GB2312" w:eastAsia="仿宋_GB2312" w:cs="仿宋_GB2312"/>
          <w:color w:val="000000"/>
          <w:sz w:val="32"/>
          <w:szCs w:val="32"/>
          <w:highlight w:val="none"/>
          <w:shd w:val="clear" w:color="auto" w:fill="FFFFFF"/>
          <w:lang w:val="en-US" w:eastAsia="zh-CN"/>
        </w:rPr>
        <w:t>2表</w:t>
      </w:r>
      <w:r>
        <w:rPr>
          <w:rFonts w:hint="eastAsia" w:ascii="仿宋_GB2312" w:hAnsi="仿宋_GB2312" w:eastAsia="仿宋_GB2312" w:cs="仿宋_GB2312"/>
          <w:color w:val="000000"/>
          <w:sz w:val="32"/>
          <w:szCs w:val="32"/>
          <w:shd w:val="clear" w:color="auto" w:fill="FFFFFF"/>
          <w:lang w:val="en-US" w:eastAsia="zh-CN"/>
        </w:rPr>
        <w:t>。</w:t>
      </w:r>
    </w:p>
    <w:p>
      <w:pPr>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1．机关运行经费：</w:t>
      </w:r>
      <w:r>
        <w:rPr>
          <w:rFonts w:hint="eastAsia" w:ascii="仿宋_GB2312" w:hAnsi="仿宋_GB2312" w:eastAsia="仿宋_GB2312" w:cs="仿宋_GB2312"/>
          <w:color w:val="000000"/>
          <w:sz w:val="32"/>
          <w:szCs w:val="32"/>
          <w:shd w:val="clear" w:color="auto" w:fill="FFFFFF"/>
          <w:lang w:val="en-US" w:eastAsia="zh-CN"/>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70" w:lineRule="atLeast"/>
        <w:ind w:firstLine="643" w:firstLineChars="200"/>
        <w:rPr>
          <w:rFonts w:hint="eastAsia" w:asciiTheme="minorEastAsia" w:hAnsiTheme="minorEastAsia" w:eastAsiaTheme="minorEastAsia" w:cstheme="minorEastAsia"/>
          <w:sz w:val="28"/>
          <w:szCs w:val="28"/>
        </w:rPr>
      </w:pPr>
      <w:r>
        <w:rPr>
          <w:rFonts w:hint="eastAsia" w:ascii="仿宋_GB2312" w:hAnsi="仿宋_GB2312" w:eastAsia="仿宋_GB2312" w:cs="仿宋_GB2312"/>
          <w:b/>
          <w:bCs/>
          <w:color w:val="000000"/>
          <w:sz w:val="32"/>
          <w:szCs w:val="32"/>
          <w:shd w:val="clear" w:color="auto" w:fill="FFFFFF"/>
          <w:lang w:val="en-US" w:eastAsia="zh-CN"/>
        </w:rPr>
        <w:t>2．“三公”经费：</w:t>
      </w:r>
      <w:r>
        <w:rPr>
          <w:rFonts w:hint="eastAsia" w:ascii="仿宋_GB2312" w:hAnsi="仿宋_GB2312" w:eastAsia="仿宋_GB2312" w:cs="仿宋_GB2312"/>
          <w:color w:val="000000"/>
          <w:sz w:val="32"/>
          <w:szCs w:val="32"/>
          <w:shd w:val="clear" w:color="auto" w:fill="FFFFFF"/>
          <w:lang w:val="en-US" w:eastAsia="zh-CN"/>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Theme="minorEastAsia" w:hAnsiTheme="minorEastAsia" w:eastAsiaTheme="minorEastAsia" w:cstheme="minorEastAsia"/>
          <w:sz w:val="28"/>
          <w:szCs w:val="28"/>
        </w:rPr>
      </w:pPr>
      <w:r>
        <w:rPr>
          <w:rFonts w:hint="eastAsia" w:ascii="方正小标宋简体" w:hAnsi="Times New Roman" w:eastAsia="方正小标宋简体" w:cs="Times New Roman"/>
          <w:b/>
          <w:bCs/>
          <w:kern w:val="0"/>
          <w:sz w:val="36"/>
          <w:szCs w:val="36"/>
          <w:lang w:val="en-US" w:eastAsia="zh-CN" w:bidi="ar-SA"/>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附件：中共岳阳市君山区委办公室2024年部门预算公开表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textAlignment w:val="center"/>
        <w:rPr>
          <w:rFonts w:hint="eastAsia" w:asciiTheme="minorEastAsia" w:hAnsiTheme="minorEastAsia" w:eastAsiaTheme="minorEastAsia" w:cstheme="minorEastAsia"/>
          <w:b/>
          <w:bCs/>
          <w:i w:val="0"/>
          <w:iCs w:val="0"/>
          <w:caps w:val="0"/>
          <w:color w:val="333333"/>
          <w:spacing w:val="0"/>
          <w:sz w:val="28"/>
          <w:szCs w:val="28"/>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0E854"/>
    <w:multiLevelType w:val="singleLevel"/>
    <w:tmpl w:val="A250E8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MmNkMDcwZjcwYzc0YmYxNGM2ODk0OTU4ZWM3ZDYifQ=="/>
  </w:docVars>
  <w:rsids>
    <w:rsidRoot w:val="637274E6"/>
    <w:rsid w:val="010D1261"/>
    <w:rsid w:val="020D122D"/>
    <w:rsid w:val="05974297"/>
    <w:rsid w:val="066547B5"/>
    <w:rsid w:val="0794481D"/>
    <w:rsid w:val="08B97B9F"/>
    <w:rsid w:val="0BC81D71"/>
    <w:rsid w:val="0BD240F7"/>
    <w:rsid w:val="0C5F6F40"/>
    <w:rsid w:val="0C923A83"/>
    <w:rsid w:val="0E5B42C5"/>
    <w:rsid w:val="112B4160"/>
    <w:rsid w:val="11A2545A"/>
    <w:rsid w:val="167C1082"/>
    <w:rsid w:val="16BD5992"/>
    <w:rsid w:val="16FB76F0"/>
    <w:rsid w:val="1A6F14EF"/>
    <w:rsid w:val="1AB469DE"/>
    <w:rsid w:val="1C6F6CFF"/>
    <w:rsid w:val="1C744CBF"/>
    <w:rsid w:val="1D7E6D17"/>
    <w:rsid w:val="1ECC4DAF"/>
    <w:rsid w:val="1F8F2DF1"/>
    <w:rsid w:val="20CE0ED9"/>
    <w:rsid w:val="22CF50BC"/>
    <w:rsid w:val="22E36792"/>
    <w:rsid w:val="232333DF"/>
    <w:rsid w:val="25BF7042"/>
    <w:rsid w:val="28F9108C"/>
    <w:rsid w:val="29BC4134"/>
    <w:rsid w:val="2B0B111F"/>
    <w:rsid w:val="2C8B2374"/>
    <w:rsid w:val="2CD84711"/>
    <w:rsid w:val="2D3A78E3"/>
    <w:rsid w:val="30BC5526"/>
    <w:rsid w:val="328F1D91"/>
    <w:rsid w:val="368445D7"/>
    <w:rsid w:val="3C153B72"/>
    <w:rsid w:val="436D70FC"/>
    <w:rsid w:val="43944FC8"/>
    <w:rsid w:val="43BA631C"/>
    <w:rsid w:val="46930A67"/>
    <w:rsid w:val="469E44E6"/>
    <w:rsid w:val="49B90028"/>
    <w:rsid w:val="4AD76169"/>
    <w:rsid w:val="4AF62C56"/>
    <w:rsid w:val="4DBA372C"/>
    <w:rsid w:val="4E511DD4"/>
    <w:rsid w:val="4EE728E7"/>
    <w:rsid w:val="51B62990"/>
    <w:rsid w:val="57825F66"/>
    <w:rsid w:val="588E078D"/>
    <w:rsid w:val="5B525B22"/>
    <w:rsid w:val="5BCD52BC"/>
    <w:rsid w:val="5CE927F0"/>
    <w:rsid w:val="61681EFA"/>
    <w:rsid w:val="62A569A9"/>
    <w:rsid w:val="62CB7F2F"/>
    <w:rsid w:val="637274E6"/>
    <w:rsid w:val="63B917D2"/>
    <w:rsid w:val="659A6EE8"/>
    <w:rsid w:val="68675E30"/>
    <w:rsid w:val="68D538EF"/>
    <w:rsid w:val="699851AD"/>
    <w:rsid w:val="6D6656CC"/>
    <w:rsid w:val="6DE7565E"/>
    <w:rsid w:val="73626AED"/>
    <w:rsid w:val="74E078D2"/>
    <w:rsid w:val="78CC0C1A"/>
    <w:rsid w:val="7C7F7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Administrator\Desktop\&#25910;&#20837;&#39044;&#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5910;&#20837;&#39044;&#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收入预算图</a:t>
            </a:r>
          </a:p>
        </c:rich>
      </c:tx>
      <c:layout/>
      <c:overlay val="0"/>
      <c:spPr>
        <a:noFill/>
        <a:ln>
          <a:noFill/>
        </a:ln>
        <a:effectLst/>
      </c:spPr>
    </c:title>
    <c:autoTitleDeleted val="0"/>
    <c:view3D>
      <c:rotX val="25"/>
      <c:rotY val="0"/>
      <c:depthPercent val="100"/>
      <c:rAngAx val="0"/>
      <c:perspective val="20"/>
    </c:view3D>
    <c:floor>
      <c:thickness val="0"/>
    </c:floor>
    <c:sideWall>
      <c:thickness val="0"/>
    </c:sideWall>
    <c:backWall>
      <c:thickness val="0"/>
    </c:backWall>
    <c:plotArea>
      <c:layout/>
      <c:pie3DChart>
        <c:varyColors val="1"/>
        <c:ser>
          <c:idx val="0"/>
          <c:order val="0"/>
          <c:spPr>
            <a:ln w="15875" cmpd="sng">
              <a:solidFill>
                <a:schemeClr val="bg1"/>
              </a:solidFill>
              <a:prstDash val="solid"/>
            </a:ln>
            <a:effectLst/>
            <a:scene3d>
              <a:camera prst="orthographicFront"/>
              <a:lightRig rig="threePt" dir="t"/>
            </a:scene3d>
            <a:sp3d contourW="15875" prstMaterial="flat"/>
          </c:spPr>
          <c:explosion val="0"/>
          <c:dPt>
            <c:idx val="0"/>
            <c:bubble3D val="0"/>
            <c:spPr>
              <a:gradFill>
                <a:gsLst>
                  <a:gs pos="0">
                    <a:schemeClr val="accent1">
                      <a:lumMod val="60000"/>
                      <a:lumOff val="40000"/>
                    </a:schemeClr>
                  </a:gs>
                  <a:gs pos="70000">
                    <a:schemeClr val="accent1"/>
                  </a:gs>
                </a:gsLst>
                <a:lin ang="13500000" scaled="0"/>
              </a:gradFill>
              <a:ln w="15875" cmpd="sng">
                <a:solidFill>
                  <a:schemeClr val="accent1">
                    <a:lumMod val="75000"/>
                  </a:schemeClr>
                </a:solidFill>
                <a:prstDash val="solid"/>
              </a:ln>
              <a:effectLst/>
              <a:scene3d>
                <a:camera prst="orthographicFront"/>
                <a:lightRig rig="threePt" dir="t"/>
              </a:scene3d>
              <a:sp3d contourW="15875" prstMaterial="flat"/>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[收入预算图.xlsx]Sheet1!$B$31:$B$32</c15:sqref>
                  </c15:fullRef>
                </c:ext>
              </c:extLst>
              <c:f>[收入预算图.xlsx]Sheet1!$B$31</c:f>
              <c:strCache>
                <c:ptCount val="1"/>
                <c:pt idx="0">
                  <c:v>一般公共预算拨款收入</c:v>
                </c:pt>
              </c:strCache>
            </c:strRef>
          </c:cat>
          <c:val>
            <c:numRef>
              <c:extLst>
                <c:ext xmlns:c15="http://schemas.microsoft.com/office/drawing/2012/chart" uri="{02D57815-91ED-43cb-92C2-25804820EDAC}">
                  <c15:fullRef>
                    <c15:sqref>Sheet1!$C$31:$C$32</c15:sqref>
                  </c15:fullRef>
                </c:ext>
              </c:extLst>
              <c:f>[收入预算图.xlsx]Sheet1!$C$31</c:f>
              <c:numCache>
                <c:formatCode>0%</c:formatCode>
                <c:ptCount val="1"/>
                <c:pt idx="0">
                  <c:v>1</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r>
              <a:t>支出预算图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67440254178754"/>
          <c:y val="0.302044011849344"/>
          <c:w val="0.826511949164249"/>
          <c:h val="0.612797291578502"/>
        </c:manualLayout>
      </c:layout>
      <c:pie3DChart>
        <c:varyColors val="1"/>
        <c:ser>
          <c:idx val="0"/>
          <c:order val="0"/>
          <c:spPr>
            <a:scene3d>
              <a:camera prst="orthographicFront"/>
              <a:lightRig rig="threePt" dir="t"/>
            </a:scene3d>
            <a:sp3d contourW="9525"/>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Pt>
            <c:idx val="3"/>
            <c:bubble3D val="0"/>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dPt>
          <c:dLbls>
            <c:dLbl>
              <c:idx val="0"/>
              <c:layout>
                <c:manualLayout>
                  <c:x val="-0.04247704510012"/>
                  <c:y val="-0.0260843754663788"/>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21836119124768"/>
                  <c:y val="0.0356008671323811"/>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30597809552784"/>
                  <c:y val="-0.0692934782608696"/>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40660118818549"/>
                  <c:y val="0.0108389392220462"/>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[收入预算图.xlsx]Sheet1!$B$2:$B$5</c:f>
              <c:strCache>
                <c:ptCount val="4"/>
                <c:pt idx="0">
                  <c:v>社会保障和就业支出</c:v>
                </c:pt>
                <c:pt idx="1">
                  <c:v>卫生健康支出</c:v>
                </c:pt>
                <c:pt idx="2">
                  <c:v>一般公共服务支出</c:v>
                </c:pt>
                <c:pt idx="3">
                  <c:v>住房保障支出</c:v>
                </c:pt>
              </c:strCache>
            </c:strRef>
          </c:cat>
          <c:val>
            <c:numRef>
              <c:f>[收入预算图.xlsx]Sheet1!$C$2:$C$5</c:f>
              <c:numCache>
                <c:formatCode>0.00%</c:formatCode>
                <c:ptCount val="4"/>
                <c:pt idx="0">
                  <c:v>0.1074</c:v>
                </c:pt>
                <c:pt idx="1">
                  <c:v>0.0176</c:v>
                </c:pt>
                <c:pt idx="2">
                  <c:v>0.8482</c:v>
                </c:pt>
                <c:pt idx="3">
                  <c:v>0.0268</c:v>
                </c:pt>
              </c:numCache>
            </c:numRef>
          </c:val>
        </c:ser>
        <c:dLbls>
          <c:showLegendKey val="0"/>
          <c:showVal val="0"/>
          <c:showCatName val="1"/>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0C0E1F"/>
    </a:dk2>
    <a:lt2>
      <a:srgbClr val="FEFFFF"/>
    </a:lt2>
    <a:accent1>
      <a:srgbClr val="54C9FA"/>
    </a:accent1>
    <a:accent2>
      <a:srgbClr val="6C92FD"/>
    </a:accent2>
    <a:accent3>
      <a:srgbClr val="FF731F"/>
    </a:accent3>
    <a:accent4>
      <a:srgbClr val="16CC8A"/>
    </a:accent4>
    <a:accent5>
      <a:srgbClr val="FFC619"/>
    </a:accent5>
    <a:accent6>
      <a:srgbClr val="4E37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4475</Words>
  <Characters>4765</Characters>
  <Lines>0</Lines>
  <Paragraphs>0</Paragraphs>
  <TotalTime>1</TotalTime>
  <ScaleCrop>false</ScaleCrop>
  <LinksUpToDate>false</LinksUpToDate>
  <CharactersWithSpaces>4783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Administrator</cp:lastModifiedBy>
  <dcterms:modified xsi:type="dcterms:W3CDTF">2024-06-08T04:00:44Z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60BC7339106041DA91BAB39D0CD3151D_13</vt:lpwstr>
  </property>
</Properties>
</file>